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body>
    <w:p w:rsidRPr="008F39F2" w:rsidR="00231611" w:rsidP="00231611" w:rsidRDefault="00231611" w14:paraId="3B491CD6" w14:textId="77777777">
      <w:pPr>
        <w:spacing w:after="0"/>
        <w:rPr>
          <w:b/>
          <w:color w:val="EB3741"/>
          <w:sz w:val="36"/>
          <w:szCs w:val="36"/>
          <w:lang w:val="en-GB"/>
        </w:rPr>
      </w:pPr>
      <w:r w:rsidRPr="008F39F2">
        <w:rPr>
          <w:b/>
          <w:noProof/>
          <w:color w:val="EB3741"/>
          <w:sz w:val="36"/>
          <w:szCs w:val="36"/>
          <w:lang w:val="en-GB"/>
        </w:rPr>
        <w:drawing>
          <wp:anchor distT="0" distB="0" distL="114300" distR="114300" simplePos="0" relativeHeight="251676672" behindDoc="0" locked="0" layoutInCell="1" allowOverlap="1" wp14:anchorId="0F1C465B" wp14:editId="4AC3BFD0">
            <wp:simplePos x="0" y="0"/>
            <wp:positionH relativeFrom="column">
              <wp:posOffset>0</wp:posOffset>
            </wp:positionH>
            <wp:positionV relativeFrom="paragraph">
              <wp:posOffset>76835</wp:posOffset>
            </wp:positionV>
            <wp:extent cx="746825" cy="762066"/>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46825" cy="762066"/>
                    </a:xfrm>
                    <a:prstGeom prst="rect">
                      <a:avLst/>
                    </a:prstGeom>
                  </pic:spPr>
                </pic:pic>
              </a:graphicData>
            </a:graphic>
          </wp:anchor>
        </w:drawing>
      </w:r>
      <w:r w:rsidRPr="008F39F2">
        <w:rPr>
          <w:b/>
          <w:color w:val="EB3741"/>
          <w:sz w:val="36"/>
          <w:szCs w:val="36"/>
          <w:lang w:val="en-GB"/>
        </w:rPr>
        <w:t xml:space="preserve">Step 4: Joint Implementation and Monitoring, </w:t>
      </w:r>
    </w:p>
    <w:p w:rsidRPr="008F39F2" w:rsidR="00231611" w:rsidP="00231611" w:rsidRDefault="00231611" w14:paraId="7EE40838" w14:textId="77777777">
      <w:pPr>
        <w:spacing w:after="0"/>
        <w:ind w:left="2160"/>
        <w:rPr>
          <w:b/>
          <w:color w:val="EB3741"/>
          <w:sz w:val="36"/>
          <w:szCs w:val="36"/>
          <w:lang w:val="en-GB"/>
        </w:rPr>
      </w:pPr>
      <w:r>
        <w:rPr>
          <w:b/>
          <w:color w:val="EB3741"/>
          <w:sz w:val="36"/>
          <w:szCs w:val="36"/>
          <w:lang w:val="en-GB"/>
        </w:rPr>
        <w:t xml:space="preserve">    </w:t>
      </w:r>
      <w:r w:rsidRPr="008F39F2">
        <w:rPr>
          <w:b/>
          <w:color w:val="EB3741"/>
          <w:sz w:val="36"/>
          <w:szCs w:val="36"/>
          <w:lang w:val="en-GB"/>
        </w:rPr>
        <w:t>and Evaluation of Collaboration</w:t>
      </w:r>
    </w:p>
    <w:p w:rsidRPr="00231611" w:rsidR="00231611" w:rsidP="00A60490" w:rsidRDefault="00231611" w14:paraId="0794C168" w14:textId="77777777">
      <w:pPr>
        <w:spacing w:after="40"/>
        <w:rPr>
          <w:b/>
          <w:bCs/>
          <w:color w:val="EB3741"/>
          <w:sz w:val="36"/>
          <w:szCs w:val="36"/>
          <w:lang w:val="en-GB"/>
        </w:rPr>
      </w:pPr>
      <w:r w:rsidRPr="00231611">
        <w:rPr>
          <w:bCs/>
          <w:color w:val="EB3741"/>
          <w:sz w:val="36"/>
          <w:szCs w:val="36"/>
          <w:lang w:val="en-GB"/>
        </w:rPr>
        <w:t>Promising</w:t>
      </w:r>
      <w:r w:rsidRPr="00231611">
        <w:rPr>
          <w:b/>
          <w:bCs/>
          <w:color w:val="EB3741"/>
          <w:sz w:val="36"/>
          <w:szCs w:val="36"/>
          <w:lang w:val="en-GB"/>
        </w:rPr>
        <w:t xml:space="preserve"> </w:t>
      </w:r>
      <w:r w:rsidRPr="00231611">
        <w:rPr>
          <w:bCs/>
          <w:color w:val="EB3741"/>
          <w:sz w:val="36"/>
          <w:szCs w:val="36"/>
          <w:lang w:val="en-GB"/>
        </w:rPr>
        <w:t>Practices &amp; Resources from Country Clusters</w:t>
      </w:r>
    </w:p>
    <w:p w:rsidRPr="0035024E" w:rsidR="003814DE" w:rsidP="002F323D" w:rsidRDefault="00A60490" w14:paraId="05BC01D9" w14:textId="2FBCEB59">
      <w:pPr>
        <w:spacing w:before="240"/>
        <w:rPr>
          <w:bCs/>
          <w:color w:val="800040"/>
          <w:sz w:val="36"/>
          <w:szCs w:val="36"/>
          <w:lang w:val="en-GB"/>
        </w:rPr>
      </w:pPr>
      <w:r w:rsidRPr="0035024E">
        <w:rPr>
          <w:b/>
          <w:noProof/>
          <w:sz w:val="20"/>
          <w:szCs w:val="20"/>
          <w:lang w:val="en-GB"/>
        </w:rPr>
        <mc:AlternateContent>
          <mc:Choice Requires="wps">
            <w:drawing>
              <wp:anchor distT="0" distB="0" distL="114300" distR="114300" simplePos="0" relativeHeight="251668480" behindDoc="0" locked="0" layoutInCell="1" allowOverlap="1" wp14:anchorId="2E0C08D0" wp14:editId="3C8D5B5F">
                <wp:simplePos x="0" y="0"/>
                <wp:positionH relativeFrom="column">
                  <wp:posOffset>2106295</wp:posOffset>
                </wp:positionH>
                <wp:positionV relativeFrom="paragraph">
                  <wp:posOffset>787400</wp:posOffset>
                </wp:positionV>
                <wp:extent cx="282575" cy="379095"/>
                <wp:effectExtent l="19050" t="0" r="22225" b="20955"/>
                <wp:wrapNone/>
                <wp:docPr id="14" name="Arrow: Chevron 14"/>
                <wp:cNvGraphicFramePr/>
                <a:graphic xmlns:a="http://schemas.openxmlformats.org/drawingml/2006/main">
                  <a:graphicData uri="http://schemas.microsoft.com/office/word/2010/wordprocessingShape">
                    <wps:wsp>
                      <wps:cNvSpPr/>
                      <wps:spPr>
                        <a:xfrm flipV="1">
                          <a:off x="0" y="0"/>
                          <a:ext cx="282575" cy="379095"/>
                        </a:xfrm>
                        <a:prstGeom prst="chevron">
                          <a:avLst/>
                        </a:prstGeom>
                        <a:solidFill>
                          <a:srgbClr val="EB3741"/>
                        </a:solidFill>
                        <a:ln>
                          <a:solidFill>
                            <a:srgbClr val="EB374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5" coordsize="21600,21600" o:spt="55" adj="16200" path="m@0,l,0@1,10800,,21600@0,21600,21600,10800xe" w14:anchorId="7DA02ED2">
                <v:stroke joinstyle="miter"/>
                <v:formulas>
                  <v:f eqn="val #0"/>
                  <v:f eqn="sum 21600 0 @0"/>
                  <v:f eqn="prod #0 1 2"/>
                </v:formulas>
                <v:path textboxrect="0,0,10800,21600;0,0,16200,21600;0,0,21600,21600" o:connecttype="custom" o:connectlocs="@2,0;@1,10800;@2,21600;21600,10800" o:connectangles="270,180,90,0"/>
                <v:handles>
                  <v:h position="#0,topLeft" xrange="0,21600"/>
                </v:handles>
              </v:shapetype>
              <v:shape id="Arrow: Chevron 14" style="position:absolute;margin-left:165.85pt;margin-top:62pt;width:22.25pt;height:29.8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eb3741" strokecolor="#eb3741" strokeweight=".5pt" type="#_x0000_t55" adj="1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"/>
            </w:pict>
          </mc:Fallback>
        </mc:AlternateContent>
      </w:r>
      <w:r w:rsidRPr="002F323D" w:rsidR="002F323D">
        <w:rPr>
          <w:b/>
          <w:noProof/>
          <w:color w:val="EB3741"/>
          <w:sz w:val="20"/>
          <w:szCs w:val="20"/>
          <w:lang w:val="en-GB"/>
        </w:rPr>
        <mc:AlternateContent>
          <mc:Choice Requires="wps">
            <w:drawing>
              <wp:anchor distT="0" distB="0" distL="114300" distR="114300" simplePos="0" relativeHeight="251672576" behindDoc="0" locked="0" layoutInCell="1" allowOverlap="1" wp14:anchorId="7A870A68" wp14:editId="337E4BA8">
                <wp:simplePos x="0" y="0"/>
                <wp:positionH relativeFrom="column">
                  <wp:posOffset>4077970</wp:posOffset>
                </wp:positionH>
                <wp:positionV relativeFrom="paragraph">
                  <wp:posOffset>779780</wp:posOffset>
                </wp:positionV>
                <wp:extent cx="282575" cy="379095"/>
                <wp:effectExtent l="19050" t="0" r="22225" b="20955"/>
                <wp:wrapNone/>
                <wp:docPr id="2" name="Arrow: Chevron 2"/>
                <wp:cNvGraphicFramePr/>
                <a:graphic xmlns:a="http://schemas.openxmlformats.org/drawingml/2006/main">
                  <a:graphicData uri="http://schemas.microsoft.com/office/word/2010/wordprocessingShape">
                    <wps:wsp>
                      <wps:cNvSpPr/>
                      <wps:spPr>
                        <a:xfrm flipV="1">
                          <a:off x="0" y="0"/>
                          <a:ext cx="282575" cy="379095"/>
                        </a:xfrm>
                        <a:prstGeom prst="chevron">
                          <a:avLst/>
                        </a:prstGeom>
                        <a:solidFill>
                          <a:srgbClr val="EB3741"/>
                        </a:solidFill>
                        <a:ln>
                          <a:solidFill>
                            <a:srgbClr val="EB374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row: Chevron 2" style="position:absolute;margin-left:321.1pt;margin-top:61.4pt;width:22.25pt;height:29.8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eb3741" strokecolor="#eb3741" strokeweight=".5pt" type="#_x0000_t55" adj="1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" w14:anchorId="35943481"/>
            </w:pict>
          </mc:Fallback>
        </mc:AlternateContent>
      </w:r>
      <w:r w:rsidRPr="0035024E" w:rsidR="002F323D">
        <w:rPr>
          <w:b/>
          <w:noProof/>
          <w:sz w:val="20"/>
          <w:szCs w:val="20"/>
          <w:lang w:val="en-GB"/>
        </w:rPr>
        <mc:AlternateContent>
          <mc:Choice Requires="wps">
            <w:drawing>
              <wp:anchor distT="0" distB="0" distL="114300" distR="114300" simplePos="0" relativeHeight="251674624" behindDoc="0" locked="0" layoutInCell="1" allowOverlap="1" wp14:anchorId="6ABCD15E" wp14:editId="7D9D78B0">
                <wp:simplePos x="0" y="0"/>
                <wp:positionH relativeFrom="column">
                  <wp:posOffset>5278120</wp:posOffset>
                </wp:positionH>
                <wp:positionV relativeFrom="paragraph">
                  <wp:posOffset>781685</wp:posOffset>
                </wp:positionV>
                <wp:extent cx="243205" cy="386715"/>
                <wp:effectExtent l="19050" t="0" r="23495" b="13335"/>
                <wp:wrapNone/>
                <wp:docPr id="3" name="Arrow: Chevron 3"/>
                <wp:cNvGraphicFramePr/>
                <a:graphic xmlns:a="http://schemas.openxmlformats.org/drawingml/2006/main">
                  <a:graphicData uri="http://schemas.microsoft.com/office/word/2010/wordprocessingShape">
                    <wps:wsp>
                      <wps:cNvSpPr/>
                      <wps:spPr>
                        <a:xfrm flipV="1">
                          <a:off x="0" y="0"/>
                          <a:ext cx="243205" cy="386715"/>
                        </a:xfrm>
                        <a:prstGeom prst="chevron">
                          <a:avLst/>
                        </a:prstGeom>
                        <a:solidFill>
                          <a:srgbClr val="EB3741"/>
                        </a:solidFill>
                        <a:ln>
                          <a:solidFill>
                            <a:srgbClr val="EB374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row: Chevron 3" style="position:absolute;margin-left:415.6pt;margin-top:61.55pt;width:19.15pt;height:30.4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eb3741" strokecolor="#eb3741" strokeweight=".5pt" type="#_x0000_t55" adj="1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" w14:anchorId="1F878B01"/>
            </w:pict>
          </mc:Fallback>
        </mc:AlternateContent>
      </w:r>
      <w:r w:rsidR="00406B0E">
        <w:rPr>
          <w:bCs/>
          <w:lang w:val="en-GB"/>
        </w:rPr>
        <w:t xml:space="preserve">The following table contains promising practices of CP-EiE Collaboration from country clusters and where available, the resources they used. Examples are categorised following the </w:t>
      </w:r>
      <w:hyperlink w:history="1" r:id="rId9">
        <w:r w:rsidR="00406B0E">
          <w:rPr>
            <w:rStyle w:val="Hyperlink"/>
            <w:bCs/>
            <w:lang w:val="en-GB"/>
          </w:rPr>
          <w:t>CP-EiE Collaboration Framework</w:t>
        </w:r>
      </w:hyperlink>
      <w:r w:rsidR="00406B0E">
        <w:rPr>
          <w:bCs/>
          <w:lang w:val="en-GB"/>
        </w:rPr>
        <w:t xml:space="preserve"> structure. Global resources related to these steps are included at the end. </w:t>
      </w:r>
      <w:r w:rsidR="00406B0E">
        <w:rPr>
          <w:bCs/>
          <w:i/>
          <w:iCs/>
          <w:lang w:val="en-GB"/>
        </w:rPr>
        <w:t xml:space="preserve">This is a living compilation of promising practices; if you have examples or tools to </w:t>
      </w:r>
      <w:r w:rsidR="00231611">
        <w:rPr>
          <w:bCs/>
          <w:i/>
          <w:iCs/>
          <w:lang w:val="en-GB"/>
        </w:rPr>
        <w:t>add</w:t>
      </w:r>
      <w:r w:rsidR="00406B0E">
        <w:rPr>
          <w:bCs/>
          <w:i/>
          <w:iCs/>
          <w:lang w:val="en-GB"/>
        </w:rPr>
        <w:t xml:space="preserve">, please </w:t>
      </w:r>
      <w:hyperlink w:history="1" r:id="rId10">
        <w:r w:rsidR="00406B0E">
          <w:rPr>
            <w:rStyle w:val="Hyperlink"/>
            <w:bCs/>
            <w:i/>
            <w:iCs/>
            <w:lang w:val="en-GB"/>
          </w:rPr>
          <w:t>get in contact</w:t>
        </w:r>
      </w:hyperlink>
      <w:r w:rsidR="00406B0E">
        <w:rPr>
          <w:bCs/>
          <w:i/>
          <w:iCs/>
          <w:lang w:val="en-GB"/>
        </w:rPr>
        <w:t xml:space="preserve"> with us!</w:t>
      </w:r>
    </w:p>
    <w:tbl>
      <w:tblPr>
        <w:tblStyle w:val="TableGrid"/>
        <w:tblW w:w="14601" w:type="dxa"/>
        <w:tblInd w:w="-866" w:type="dxa"/>
        <w:tblBorders>
          <w:top w:val="single" w:color="EB3741" w:sz="12" w:space="0"/>
          <w:left w:val="single" w:color="EB3741" w:sz="12" w:space="0"/>
          <w:bottom w:val="single" w:color="EB3741" w:sz="12" w:space="0"/>
          <w:right w:val="single" w:color="EB3741" w:sz="12" w:space="0"/>
          <w:insideH w:val="single" w:color="EB3741" w:sz="12" w:space="0"/>
          <w:insideV w:val="single" w:color="EB3741" w:sz="12" w:space="0"/>
        </w:tblBorders>
        <w:tblLook w:val="04A0" w:firstRow="1" w:lastRow="0" w:firstColumn="1" w:lastColumn="0" w:noHBand="0" w:noVBand="1"/>
      </w:tblPr>
      <w:tblGrid>
        <w:gridCol w:w="4395"/>
        <w:gridCol w:w="3119"/>
        <w:gridCol w:w="1842"/>
        <w:gridCol w:w="5245"/>
      </w:tblGrid>
      <w:tr w:rsidRPr="0035024E" w:rsidR="009A66E3" w:rsidTr="04C5A6C8" w14:paraId="37A79B69" w14:textId="77777777">
        <w:tc>
          <w:tcPr>
            <w:tcW w:w="4395" w:type="dxa"/>
            <w:tcMar/>
            <w:vAlign w:val="center"/>
          </w:tcPr>
          <w:p w:rsidRPr="002F323D" w:rsidR="00D67652" w:rsidP="002F323D" w:rsidRDefault="002F323D" w14:paraId="1D6DAACD" w14:textId="4105CA2E">
            <w:pPr>
              <w:spacing w:before="40"/>
              <w:jc w:val="center"/>
              <w:rPr>
                <w:b/>
                <w:color w:val="EB3741"/>
                <w:sz w:val="20"/>
                <w:szCs w:val="20"/>
                <w:lang w:val="en-GB"/>
              </w:rPr>
            </w:pPr>
            <w:r>
              <w:rPr>
                <w:b/>
                <w:color w:val="EB3741"/>
                <w:sz w:val="20"/>
                <w:szCs w:val="20"/>
                <w:lang w:val="en-GB"/>
              </w:rPr>
              <w:t xml:space="preserve">4a. </w:t>
            </w:r>
            <w:r w:rsidRPr="002F323D" w:rsidR="00D67652">
              <w:rPr>
                <w:b/>
                <w:color w:val="EB3741"/>
                <w:sz w:val="20"/>
                <w:szCs w:val="20"/>
                <w:lang w:val="en-GB"/>
              </w:rPr>
              <w:t xml:space="preserve">Define </w:t>
            </w:r>
            <w:r w:rsidRPr="002F323D">
              <w:rPr>
                <w:b/>
                <w:color w:val="EB3741"/>
                <w:sz w:val="20"/>
                <w:szCs w:val="20"/>
                <w:lang w:val="en-GB"/>
              </w:rPr>
              <w:t>how to</w:t>
            </w:r>
            <w:r w:rsidRPr="002F323D" w:rsidR="00D67652">
              <w:rPr>
                <w:b/>
                <w:color w:val="EB3741"/>
                <w:sz w:val="20"/>
                <w:szCs w:val="20"/>
                <w:lang w:val="en-GB"/>
              </w:rPr>
              <w:t xml:space="preserve"> work together</w:t>
            </w:r>
          </w:p>
        </w:tc>
        <w:tc>
          <w:tcPr>
            <w:tcW w:w="3119" w:type="dxa"/>
            <w:tcMar/>
            <w:vAlign w:val="center"/>
          </w:tcPr>
          <w:p w:rsidRPr="002F323D" w:rsidR="00D67652" w:rsidP="002F323D" w:rsidRDefault="002F323D" w14:paraId="133E3A8A" w14:textId="2482CB05">
            <w:pPr>
              <w:spacing w:before="40" w:after="40"/>
              <w:jc w:val="center"/>
              <w:rPr>
                <w:b/>
                <w:color w:val="EB3741"/>
                <w:sz w:val="20"/>
                <w:szCs w:val="20"/>
                <w:lang w:val="en-GB"/>
              </w:rPr>
            </w:pPr>
            <w:r>
              <w:rPr>
                <w:b/>
                <w:color w:val="EB3741"/>
                <w:sz w:val="20"/>
                <w:szCs w:val="20"/>
                <w:lang w:val="en-GB"/>
              </w:rPr>
              <w:t xml:space="preserve">4b. </w:t>
            </w:r>
            <w:r w:rsidRPr="002F323D">
              <w:rPr>
                <w:b/>
                <w:color w:val="EB3741"/>
                <w:sz w:val="20"/>
                <w:szCs w:val="20"/>
                <w:lang w:val="en-GB"/>
              </w:rPr>
              <w:t>Collaborate to e</w:t>
            </w:r>
            <w:r w:rsidRPr="002F323D" w:rsidR="00D67652">
              <w:rPr>
                <w:b/>
                <w:color w:val="EB3741"/>
                <w:sz w:val="20"/>
                <w:szCs w:val="20"/>
                <w:lang w:val="en-GB"/>
              </w:rPr>
              <w:t xml:space="preserve">nhance </w:t>
            </w:r>
            <w:r w:rsidRPr="002F323D">
              <w:rPr>
                <w:b/>
                <w:color w:val="EB3741"/>
                <w:sz w:val="20"/>
                <w:szCs w:val="20"/>
                <w:lang w:val="en-GB"/>
              </w:rPr>
              <w:t xml:space="preserve">     </w:t>
            </w:r>
            <w:r w:rsidRPr="002F323D" w:rsidR="00D67652">
              <w:rPr>
                <w:b/>
                <w:color w:val="EB3741"/>
                <w:sz w:val="20"/>
                <w:szCs w:val="20"/>
                <w:lang w:val="en-GB"/>
              </w:rPr>
              <w:t>response quality</w:t>
            </w:r>
          </w:p>
        </w:tc>
        <w:tc>
          <w:tcPr>
            <w:tcW w:w="1842" w:type="dxa"/>
            <w:tcMar/>
            <w:vAlign w:val="center"/>
          </w:tcPr>
          <w:p w:rsidRPr="002F323D" w:rsidR="00D67652" w:rsidP="002F323D" w:rsidRDefault="002F323D" w14:paraId="55587F39" w14:textId="7A69ED41">
            <w:pPr>
              <w:jc w:val="center"/>
              <w:rPr>
                <w:b/>
                <w:color w:val="EB3741"/>
                <w:sz w:val="20"/>
                <w:szCs w:val="20"/>
                <w:lang w:val="en-GB"/>
              </w:rPr>
            </w:pPr>
            <w:r>
              <w:rPr>
                <w:b/>
                <w:color w:val="EB3741"/>
                <w:sz w:val="20"/>
                <w:szCs w:val="20"/>
                <w:lang w:val="en-GB"/>
              </w:rPr>
              <w:t xml:space="preserve">4c. </w:t>
            </w:r>
            <w:r w:rsidRPr="002F323D" w:rsidR="00D67652">
              <w:rPr>
                <w:b/>
                <w:color w:val="EB3741"/>
                <w:sz w:val="20"/>
                <w:szCs w:val="20"/>
                <w:lang w:val="en-GB"/>
              </w:rPr>
              <w:t xml:space="preserve">Identify </w:t>
            </w:r>
            <w:r>
              <w:rPr>
                <w:b/>
                <w:color w:val="EB3741"/>
                <w:sz w:val="20"/>
                <w:szCs w:val="20"/>
                <w:lang w:val="en-GB"/>
              </w:rPr>
              <w:t>and mobilise</w:t>
            </w:r>
            <w:r w:rsidRPr="002F323D" w:rsidR="00D67652">
              <w:rPr>
                <w:b/>
                <w:color w:val="EB3741"/>
                <w:sz w:val="20"/>
                <w:szCs w:val="20"/>
                <w:lang w:val="en-GB"/>
              </w:rPr>
              <w:t xml:space="preserve"> partners</w:t>
            </w:r>
          </w:p>
        </w:tc>
        <w:tc>
          <w:tcPr>
            <w:tcW w:w="5245" w:type="dxa"/>
            <w:tcMar/>
            <w:vAlign w:val="center"/>
          </w:tcPr>
          <w:p w:rsidR="002F323D" w:rsidP="002F323D" w:rsidRDefault="002F323D" w14:paraId="399339EA" w14:textId="3BDB9DB6">
            <w:pPr>
              <w:jc w:val="center"/>
              <w:rPr>
                <w:b/>
                <w:color w:val="EB3741"/>
                <w:sz w:val="20"/>
                <w:szCs w:val="20"/>
                <w:lang w:val="en-GB"/>
              </w:rPr>
            </w:pPr>
            <w:r>
              <w:rPr>
                <w:b/>
                <w:color w:val="EB3741"/>
                <w:sz w:val="20"/>
                <w:szCs w:val="20"/>
                <w:lang w:val="en-GB"/>
              </w:rPr>
              <w:t xml:space="preserve">4d. </w:t>
            </w:r>
            <w:r w:rsidRPr="002F323D" w:rsidR="00D67652">
              <w:rPr>
                <w:b/>
                <w:color w:val="EB3741"/>
                <w:sz w:val="20"/>
                <w:szCs w:val="20"/>
                <w:lang w:val="en-GB"/>
              </w:rPr>
              <w:t xml:space="preserve">Joint Monitoring </w:t>
            </w:r>
            <w:r w:rsidRPr="002F323D">
              <w:rPr>
                <w:b/>
                <w:color w:val="EB3741"/>
                <w:sz w:val="20"/>
                <w:szCs w:val="20"/>
                <w:lang w:val="en-GB"/>
              </w:rPr>
              <w:t xml:space="preserve">Plan </w:t>
            </w:r>
            <w:r w:rsidRPr="002F323D" w:rsidR="0019309F">
              <w:rPr>
                <w:b/>
                <w:color w:val="EB3741"/>
                <w:sz w:val="20"/>
                <w:szCs w:val="20"/>
                <w:lang w:val="en-GB"/>
              </w:rPr>
              <w:t>and</w:t>
            </w:r>
            <w:r w:rsidR="00967AC4">
              <w:rPr>
                <w:b/>
                <w:color w:val="EB3741"/>
                <w:sz w:val="20"/>
                <w:szCs w:val="20"/>
                <w:lang w:val="en-GB"/>
              </w:rPr>
              <w:t xml:space="preserve">   </w:t>
            </w:r>
          </w:p>
          <w:p w:rsidRPr="002F323D" w:rsidR="00D67652" w:rsidP="002F323D" w:rsidRDefault="00967AC4" w14:paraId="3F15854C" w14:textId="36C273E8">
            <w:pPr>
              <w:jc w:val="center"/>
              <w:rPr>
                <w:b/>
                <w:color w:val="EB3741"/>
                <w:sz w:val="20"/>
                <w:szCs w:val="20"/>
                <w:lang w:val="en-GB"/>
              </w:rPr>
            </w:pPr>
            <w:r>
              <w:rPr>
                <w:b/>
                <w:color w:val="EB3741"/>
                <w:sz w:val="20"/>
                <w:szCs w:val="20"/>
                <w:lang w:val="en-GB"/>
              </w:rPr>
              <w:t xml:space="preserve">   </w:t>
            </w:r>
            <w:r w:rsidR="002F323D">
              <w:rPr>
                <w:b/>
                <w:color w:val="EB3741"/>
                <w:sz w:val="20"/>
                <w:szCs w:val="20"/>
                <w:lang w:val="en-GB"/>
              </w:rPr>
              <w:t xml:space="preserve">4e. </w:t>
            </w:r>
            <w:r w:rsidRPr="002F323D" w:rsidR="0019309F">
              <w:rPr>
                <w:b/>
                <w:color w:val="EB3741"/>
                <w:sz w:val="20"/>
                <w:szCs w:val="20"/>
                <w:lang w:val="en-GB"/>
              </w:rPr>
              <w:t>Evaluation</w:t>
            </w:r>
            <w:r w:rsidRPr="002F323D" w:rsidR="002F323D">
              <w:rPr>
                <w:b/>
                <w:color w:val="EB3741"/>
                <w:sz w:val="20"/>
                <w:szCs w:val="20"/>
                <w:lang w:val="en-GB"/>
              </w:rPr>
              <w:t xml:space="preserve"> of Collaboration</w:t>
            </w:r>
          </w:p>
        </w:tc>
      </w:tr>
      <w:tr w:rsidRPr="0035024E" w:rsidR="009A66E3" w:rsidTr="04C5A6C8" w14:paraId="264B33B9" w14:textId="77777777">
        <w:trPr>
          <w:trHeight w:val="601"/>
        </w:trPr>
        <w:tc>
          <w:tcPr>
            <w:tcW w:w="4395" w:type="dxa"/>
            <w:tcMar/>
          </w:tcPr>
          <w:p w:rsidRPr="00D51EE4" w:rsidR="009A66E3" w:rsidP="003A0DB7" w:rsidRDefault="009A66E3" w14:paraId="3B0E0C03" w14:textId="3A6D2B00">
            <w:pPr>
              <w:spacing w:before="80"/>
              <w:rPr>
                <w:rFonts w:cstheme="minorHAnsi"/>
                <w:sz w:val="20"/>
                <w:szCs w:val="20"/>
                <w:u w:val="single"/>
                <w:lang w:val="en-GB"/>
              </w:rPr>
            </w:pPr>
            <w:r w:rsidRPr="00D51EE4">
              <w:rPr>
                <w:rFonts w:eastAsia="Times New Roman" w:cstheme="minorHAnsi"/>
                <w:color w:val="000000"/>
                <w:sz w:val="20"/>
                <w:szCs w:val="20"/>
                <w:u w:val="single"/>
                <w:lang w:val="en-GB"/>
              </w:rPr>
              <w:t>Guidance for integrated/ complementary areas</w:t>
            </w:r>
          </w:p>
          <w:p w:rsidRPr="00D51EE4" w:rsidR="00406B0E" w:rsidP="00406B0E" w:rsidRDefault="009A66E3" w14:paraId="38168563" w14:textId="77777777">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Multi-</w:t>
            </w:r>
            <w:r w:rsidRPr="00D51EE4">
              <w:rPr>
                <w:rFonts w:eastAsia="Times New Roman" w:cstheme="minorHAnsi"/>
                <w:color w:val="000000"/>
                <w:sz w:val="20"/>
                <w:szCs w:val="20"/>
                <w:lang w:val="en-GB"/>
              </w:rPr>
              <w:t>purpose</w:t>
            </w:r>
            <w:r w:rsidRPr="00D51EE4">
              <w:rPr>
                <w:rFonts w:cstheme="minorHAnsi"/>
                <w:sz w:val="20"/>
                <w:szCs w:val="20"/>
                <w:lang w:val="en-GB"/>
              </w:rPr>
              <w:t xml:space="preserve"> space guidance </w:t>
            </w:r>
          </w:p>
          <w:p w:rsidRPr="00D51EE4" w:rsidR="00406B0E" w:rsidP="00406B0E" w:rsidRDefault="00406B0E" w14:paraId="6ACF8CCC" w14:textId="77777777">
            <w:pPr>
              <w:pStyle w:val="ListParagraph"/>
              <w:numPr>
                <w:ilvl w:val="0"/>
                <w:numId w:val="24"/>
              </w:numPr>
              <w:spacing w:before="40"/>
              <w:rPr>
                <w:rFonts w:cstheme="minorHAnsi"/>
                <w:sz w:val="20"/>
                <w:szCs w:val="20"/>
                <w:lang w:val="en-GB"/>
              </w:rPr>
            </w:pPr>
            <w:r w:rsidRPr="00D51EE4">
              <w:rPr>
                <w:rFonts w:eastAsia="Calibri" w:cstheme="minorHAnsi"/>
                <w:sz w:val="20"/>
                <w:szCs w:val="20"/>
                <w:lang w:val="en-GB"/>
              </w:rPr>
              <w:t xml:space="preserve">Integration Concept Note on pg. 6-7 of the </w:t>
            </w:r>
            <w:hyperlink w:history="1" r:id="rId11">
              <w:r w:rsidRPr="00D51EE4">
                <w:rPr>
                  <w:rStyle w:val="Hyperlink"/>
                  <w:rFonts w:eastAsia="Calibri" w:cstheme="minorHAnsi"/>
                  <w:color w:val="0563C1"/>
                  <w:sz w:val="20"/>
                  <w:szCs w:val="20"/>
                  <w:lang w:val="en-GB"/>
                </w:rPr>
                <w:t>CP Minimum Service Package for Urban Retaken Areas</w:t>
              </w:r>
            </w:hyperlink>
            <w:r w:rsidRPr="00D51EE4">
              <w:rPr>
                <w:rFonts w:eastAsia="Calibri" w:cstheme="minorHAnsi"/>
                <w:sz w:val="20"/>
                <w:szCs w:val="20"/>
                <w:lang w:val="en-GB"/>
              </w:rPr>
              <w:t xml:space="preserve"> (</w:t>
            </w:r>
            <w:r w:rsidRPr="00D51EE4">
              <w:rPr>
                <w:rFonts w:eastAsia="Calibri" w:cstheme="minorHAnsi"/>
                <w:b/>
                <w:bCs/>
                <w:sz w:val="20"/>
                <w:szCs w:val="20"/>
                <w:lang w:val="en-GB"/>
              </w:rPr>
              <w:t>Iraq</w:t>
            </w:r>
            <w:r w:rsidRPr="00D51EE4">
              <w:rPr>
                <w:rFonts w:eastAsia="Calibri" w:cstheme="minorHAnsi"/>
                <w:sz w:val="20"/>
                <w:szCs w:val="20"/>
                <w:lang w:val="en-GB"/>
              </w:rPr>
              <w:t>)</w:t>
            </w:r>
          </w:p>
          <w:p w:rsidRPr="00D51EE4" w:rsidR="00406B0E" w:rsidP="00406B0E" w:rsidRDefault="00E1190C" w14:paraId="78FFDC25" w14:textId="0834C0A7">
            <w:pPr>
              <w:pStyle w:val="ListParagraph"/>
              <w:numPr>
                <w:ilvl w:val="0"/>
                <w:numId w:val="24"/>
              </w:numPr>
              <w:spacing w:before="40"/>
              <w:rPr>
                <w:rFonts w:cstheme="minorHAnsi"/>
                <w:sz w:val="20"/>
                <w:szCs w:val="20"/>
                <w:lang w:val="en-GB"/>
              </w:rPr>
            </w:pPr>
            <w:hyperlink w:history="1" r:id="rId12">
              <w:r w:rsidRPr="00D51EE4" w:rsidR="00406B0E">
                <w:rPr>
                  <w:rStyle w:val="Hyperlink"/>
                  <w:rFonts w:eastAsia="Calibri" w:cstheme="minorHAnsi"/>
                  <w:color w:val="0563C1"/>
                  <w:sz w:val="20"/>
                  <w:szCs w:val="20"/>
                  <w:lang w:val="en-GB"/>
                </w:rPr>
                <w:t>Guidance on Multi-Purpose Child and Adolescent Centres</w:t>
              </w:r>
            </w:hyperlink>
            <w:r w:rsidRPr="00D51EE4" w:rsidR="00406B0E">
              <w:rPr>
                <w:rFonts w:eastAsia="Calibri" w:cstheme="minorHAnsi"/>
                <w:sz w:val="20"/>
                <w:szCs w:val="20"/>
                <w:lang w:val="en-GB"/>
              </w:rPr>
              <w:t xml:space="preserve"> (</w:t>
            </w:r>
            <w:r w:rsidRPr="00D51EE4" w:rsidR="00406B0E">
              <w:rPr>
                <w:rFonts w:eastAsia="Calibri" w:cstheme="minorHAnsi"/>
                <w:b/>
                <w:bCs/>
                <w:sz w:val="20"/>
                <w:szCs w:val="20"/>
                <w:lang w:val="en-GB"/>
              </w:rPr>
              <w:t>Cox’s Bazaar</w:t>
            </w:r>
            <w:r w:rsidRPr="00D51EE4" w:rsidR="00406B0E">
              <w:rPr>
                <w:rFonts w:eastAsia="Calibri" w:cstheme="minorHAnsi"/>
                <w:sz w:val="20"/>
                <w:szCs w:val="20"/>
                <w:lang w:val="en-GB"/>
              </w:rPr>
              <w:t>)</w:t>
            </w:r>
          </w:p>
          <w:p w:rsidRPr="00D51EE4" w:rsidR="009A66E3" w:rsidP="009A66E3" w:rsidRDefault="009A66E3" w14:paraId="1A8C547D" w14:textId="77777777">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 xml:space="preserve">Defining </w:t>
            </w:r>
            <w:r w:rsidRPr="00D51EE4">
              <w:rPr>
                <w:rFonts w:eastAsia="Times New Roman" w:cstheme="minorHAnsi"/>
                <w:color w:val="000000"/>
                <w:sz w:val="20"/>
                <w:szCs w:val="20"/>
                <w:lang w:val="en-GB"/>
              </w:rPr>
              <w:t>and</w:t>
            </w:r>
            <w:r w:rsidRPr="00D51EE4">
              <w:rPr>
                <w:rFonts w:cstheme="minorHAnsi"/>
                <w:sz w:val="20"/>
                <w:szCs w:val="20"/>
                <w:lang w:val="en-GB"/>
              </w:rPr>
              <w:t xml:space="preserve"> communicating key sector activities, their differentiation and complementarities. This requires clusters to meaningfully reflect on the services and how to deliver with more integration and less duplication, facilitated advocacy to Programme Sections (decision-makers), and reduced the perception of duplicative services and facilitated uptake of integrated support by the communities, e.g.:</w:t>
            </w:r>
          </w:p>
          <w:p w:rsidRPr="00D51EE4" w:rsidR="009A66E3" w:rsidP="009A66E3" w:rsidRDefault="009A66E3" w14:paraId="1491F284" w14:textId="77777777">
            <w:pPr>
              <w:pStyle w:val="ListParagraph"/>
              <w:numPr>
                <w:ilvl w:val="1"/>
                <w:numId w:val="21"/>
              </w:numPr>
              <w:spacing w:before="80" w:after="80"/>
              <w:ind w:left="822"/>
              <w:rPr>
                <w:rFonts w:cstheme="minorHAnsi"/>
                <w:sz w:val="20"/>
                <w:szCs w:val="20"/>
                <w:lang w:val="en-GB"/>
              </w:rPr>
            </w:pPr>
            <w:r w:rsidRPr="00D51EE4">
              <w:rPr>
                <w:rFonts w:eastAsia="Times New Roman" w:cstheme="minorHAnsi"/>
                <w:color w:val="000000"/>
                <w:sz w:val="20"/>
                <w:szCs w:val="20"/>
                <w:lang w:val="en-GB"/>
              </w:rPr>
              <w:t>CFS</w:t>
            </w:r>
            <w:r w:rsidRPr="00D51EE4">
              <w:rPr>
                <w:rFonts w:cstheme="minorHAnsi"/>
                <w:sz w:val="20"/>
                <w:szCs w:val="20"/>
                <w:lang w:val="en-GB"/>
              </w:rPr>
              <w:t xml:space="preserve"> and TLS approach (</w:t>
            </w:r>
            <w:r w:rsidRPr="00D51EE4">
              <w:rPr>
                <w:rFonts w:cstheme="minorHAnsi"/>
                <w:b/>
                <w:sz w:val="20"/>
                <w:szCs w:val="20"/>
                <w:lang w:val="en-GB"/>
              </w:rPr>
              <w:t>CXB</w:t>
            </w:r>
            <w:r w:rsidRPr="00D51EE4">
              <w:rPr>
                <w:rFonts w:cstheme="minorHAnsi"/>
                <w:sz w:val="20"/>
                <w:szCs w:val="20"/>
                <w:lang w:val="en-GB"/>
              </w:rPr>
              <w:t xml:space="preserve"> 1 pager)</w:t>
            </w:r>
          </w:p>
          <w:p w:rsidRPr="00D51EE4" w:rsidR="009A66E3" w:rsidP="003723E1" w:rsidRDefault="009A66E3" w14:paraId="3E1160C9" w14:textId="77777777">
            <w:pPr>
              <w:pStyle w:val="ListParagraph"/>
              <w:numPr>
                <w:ilvl w:val="1"/>
                <w:numId w:val="21"/>
              </w:numPr>
              <w:spacing w:before="80" w:after="80"/>
              <w:ind w:left="822"/>
              <w:rPr>
                <w:rFonts w:cstheme="minorHAnsi"/>
                <w:sz w:val="20"/>
                <w:szCs w:val="20"/>
                <w:lang w:val="en-GB"/>
              </w:rPr>
            </w:pPr>
            <w:r w:rsidRPr="00D51EE4">
              <w:rPr>
                <w:rFonts w:cstheme="minorHAnsi"/>
                <w:sz w:val="20"/>
                <w:szCs w:val="20"/>
                <w:lang w:val="en-GB"/>
              </w:rPr>
              <w:t>PSS approach (</w:t>
            </w:r>
            <w:r w:rsidRPr="00D51EE4">
              <w:rPr>
                <w:rFonts w:cstheme="minorHAnsi"/>
                <w:b/>
                <w:sz w:val="20"/>
                <w:szCs w:val="20"/>
                <w:lang w:val="en-GB"/>
              </w:rPr>
              <w:t>WCA</w:t>
            </w:r>
            <w:r w:rsidRPr="00D51EE4">
              <w:rPr>
                <w:rFonts w:cstheme="minorHAnsi"/>
                <w:sz w:val="20"/>
                <w:szCs w:val="20"/>
                <w:lang w:val="en-GB"/>
              </w:rPr>
              <w:t>)</w:t>
            </w:r>
          </w:p>
          <w:p w:rsidRPr="00D51EE4" w:rsidR="009A66E3" w:rsidP="003723E1" w:rsidRDefault="009A66E3" w14:paraId="3BBAC6A7" w14:textId="35225791">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 xml:space="preserve">Guidelines for </w:t>
            </w:r>
            <w:r w:rsidRPr="00D51EE4">
              <w:rPr>
                <w:rFonts w:cstheme="minorHAnsi"/>
                <w:sz w:val="20"/>
                <w:szCs w:val="20"/>
                <w:lang w:val="en-GB"/>
              </w:rPr>
              <w:t>integration</w:t>
            </w:r>
            <w:r w:rsidRPr="00D51EE4">
              <w:rPr>
                <w:rFonts w:eastAsia="Times New Roman" w:cstheme="minorHAnsi"/>
                <w:color w:val="000000"/>
                <w:sz w:val="20"/>
                <w:szCs w:val="20"/>
                <w:lang w:val="en-GB"/>
              </w:rPr>
              <w:t xml:space="preserve"> of CP and Education</w:t>
            </w:r>
            <w:r w:rsidRPr="00D51EE4" w:rsidR="00EB368D">
              <w:rPr>
                <w:rFonts w:eastAsia="Times New Roman" w:cstheme="minorHAnsi"/>
                <w:color w:val="000000"/>
                <w:sz w:val="20"/>
                <w:szCs w:val="20"/>
                <w:lang w:val="en-GB"/>
              </w:rPr>
              <w:t xml:space="preserve"> (</w:t>
            </w:r>
            <w:r w:rsidRPr="00D51EE4" w:rsidR="00EB368D">
              <w:rPr>
                <w:rFonts w:eastAsia="Times New Roman" w:cstheme="minorHAnsi"/>
                <w:b/>
                <w:color w:val="000000"/>
                <w:sz w:val="20"/>
                <w:szCs w:val="20"/>
                <w:lang w:val="en-GB"/>
              </w:rPr>
              <w:t>Sudan</w:t>
            </w:r>
            <w:r w:rsidRPr="00D51EE4" w:rsidR="00EB368D">
              <w:rPr>
                <w:rFonts w:eastAsia="Times New Roman" w:cstheme="minorHAnsi"/>
                <w:color w:val="000000"/>
                <w:sz w:val="20"/>
                <w:szCs w:val="20"/>
                <w:lang w:val="en-GB"/>
              </w:rPr>
              <w:t>)</w:t>
            </w:r>
          </w:p>
          <w:p w:rsidRPr="00D51EE4" w:rsidR="009A66E3" w:rsidP="003723E1" w:rsidRDefault="009A66E3" w14:paraId="0763C106" w14:textId="419B54E8">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Guidelines</w:t>
            </w:r>
            <w:r w:rsidRPr="00D51EE4">
              <w:rPr>
                <w:rFonts w:eastAsia="Times New Roman" w:cstheme="minorHAnsi"/>
                <w:color w:val="000000" w:themeColor="text1"/>
                <w:sz w:val="20"/>
                <w:szCs w:val="20"/>
                <w:lang w:val="en-GB"/>
              </w:rPr>
              <w:t xml:space="preserve"> for implementing PSS in schools</w:t>
            </w:r>
            <w:r w:rsidRPr="00D51EE4" w:rsidR="00EB368D">
              <w:rPr>
                <w:rFonts w:eastAsia="Times New Roman" w:cstheme="minorHAnsi"/>
                <w:color w:val="000000" w:themeColor="text1"/>
                <w:sz w:val="20"/>
                <w:szCs w:val="20"/>
                <w:lang w:val="en-GB"/>
              </w:rPr>
              <w:t xml:space="preserve"> (</w:t>
            </w:r>
            <w:r w:rsidRPr="00D51EE4" w:rsidR="00EB368D">
              <w:rPr>
                <w:rFonts w:eastAsia="Times New Roman" w:cstheme="minorHAnsi"/>
                <w:b/>
                <w:bCs/>
                <w:color w:val="000000" w:themeColor="text1"/>
                <w:sz w:val="20"/>
                <w:szCs w:val="20"/>
                <w:lang w:val="en-GB"/>
              </w:rPr>
              <w:t>Libya</w:t>
            </w:r>
            <w:r w:rsidRPr="00D51EE4" w:rsidR="00EB368D">
              <w:rPr>
                <w:rFonts w:eastAsia="Times New Roman" w:cstheme="minorHAnsi"/>
                <w:color w:val="000000" w:themeColor="text1"/>
                <w:sz w:val="20"/>
                <w:szCs w:val="20"/>
                <w:lang w:val="en-GB"/>
              </w:rPr>
              <w:t>)</w:t>
            </w:r>
          </w:p>
          <w:p w:rsidRPr="00D51EE4" w:rsidR="009A66E3" w:rsidP="003723E1" w:rsidRDefault="009A66E3" w14:paraId="18F0BA2E" w14:textId="3F46CA15">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Guidelines for integrating PSS and CP into Education</w:t>
            </w:r>
            <w:r w:rsidRPr="00D51EE4" w:rsidR="00EB368D">
              <w:rPr>
                <w:rFonts w:eastAsia="Times New Roman" w:cstheme="minorHAnsi"/>
                <w:color w:val="000000"/>
                <w:sz w:val="20"/>
                <w:szCs w:val="20"/>
                <w:lang w:val="en-GB"/>
              </w:rPr>
              <w:t xml:space="preserve"> (</w:t>
            </w:r>
            <w:r w:rsidRPr="00D51EE4" w:rsidR="00EB368D">
              <w:rPr>
                <w:rFonts w:eastAsia="Times New Roman" w:cstheme="minorHAnsi"/>
                <w:b/>
                <w:color w:val="000000"/>
                <w:sz w:val="20"/>
                <w:szCs w:val="20"/>
                <w:lang w:val="en-GB"/>
              </w:rPr>
              <w:t>NW</w:t>
            </w:r>
            <w:r w:rsidRPr="00D51EE4" w:rsidR="00EB368D">
              <w:rPr>
                <w:rFonts w:eastAsia="Times New Roman" w:cstheme="minorHAnsi"/>
                <w:color w:val="000000"/>
                <w:sz w:val="20"/>
                <w:szCs w:val="20"/>
                <w:lang w:val="en-GB"/>
              </w:rPr>
              <w:t xml:space="preserve"> </w:t>
            </w:r>
            <w:r w:rsidRPr="00D51EE4" w:rsidR="00EB368D">
              <w:rPr>
                <w:rFonts w:eastAsia="Times New Roman" w:cstheme="minorHAnsi"/>
                <w:b/>
                <w:color w:val="000000"/>
                <w:sz w:val="20"/>
                <w:szCs w:val="20"/>
                <w:lang w:val="en-GB"/>
              </w:rPr>
              <w:t>Syria</w:t>
            </w:r>
            <w:r w:rsidRPr="00D51EE4" w:rsidR="00EB368D">
              <w:rPr>
                <w:rFonts w:eastAsia="Times New Roman" w:cstheme="minorHAnsi"/>
                <w:color w:val="000000"/>
                <w:sz w:val="20"/>
                <w:szCs w:val="20"/>
                <w:lang w:val="en-GB"/>
              </w:rPr>
              <w:t>)</w:t>
            </w:r>
          </w:p>
          <w:p w:rsidRPr="00D51EE4" w:rsidR="009A66E3" w:rsidP="003723E1" w:rsidRDefault="009A66E3" w14:paraId="6623369F" w14:textId="3E4674E8">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Contingency Plan developed collaboratively with CP and Education, outlined the roles and tasks of different partners</w:t>
            </w:r>
            <w:r w:rsidRPr="00D51EE4" w:rsidR="00EB368D">
              <w:rPr>
                <w:rFonts w:eastAsia="Times New Roman" w:cstheme="minorHAnsi"/>
                <w:color w:val="000000"/>
                <w:sz w:val="20"/>
                <w:szCs w:val="20"/>
                <w:lang w:val="en-GB"/>
              </w:rPr>
              <w:t xml:space="preserve"> (</w:t>
            </w:r>
            <w:r w:rsidRPr="00D51EE4" w:rsidR="00EB368D">
              <w:rPr>
                <w:rFonts w:eastAsia="Times New Roman" w:cstheme="minorHAnsi"/>
                <w:b/>
                <w:color w:val="000000"/>
                <w:sz w:val="20"/>
                <w:szCs w:val="20"/>
                <w:lang w:val="en-GB"/>
              </w:rPr>
              <w:t>Iraq</w:t>
            </w:r>
            <w:r w:rsidRPr="00D51EE4" w:rsidR="00EB368D">
              <w:rPr>
                <w:rFonts w:eastAsia="Times New Roman" w:cstheme="minorHAnsi"/>
                <w:color w:val="000000"/>
                <w:sz w:val="20"/>
                <w:szCs w:val="20"/>
                <w:lang w:val="en-GB"/>
              </w:rPr>
              <w:t xml:space="preserve"> - Al </w:t>
            </w:r>
            <w:proofErr w:type="spellStart"/>
            <w:r w:rsidRPr="00D51EE4" w:rsidR="00EB368D">
              <w:rPr>
                <w:rFonts w:eastAsia="Times New Roman" w:cstheme="minorHAnsi"/>
                <w:color w:val="000000"/>
                <w:sz w:val="20"/>
                <w:szCs w:val="20"/>
                <w:lang w:val="en-GB"/>
              </w:rPr>
              <w:t>Hol</w:t>
            </w:r>
            <w:proofErr w:type="spellEnd"/>
            <w:r w:rsidRPr="00D51EE4">
              <w:rPr>
                <w:rFonts w:eastAsia="Times New Roman" w:cstheme="minorHAnsi"/>
                <w:color w:val="000000"/>
                <w:sz w:val="20"/>
                <w:szCs w:val="20"/>
                <w:lang w:val="en-GB"/>
              </w:rPr>
              <w:t>)</w:t>
            </w:r>
          </w:p>
          <w:p w:rsidRPr="00D51EE4" w:rsidR="00A54BD9" w:rsidP="00A54BD9" w:rsidRDefault="00A54BD9" w14:paraId="58520A38" w14:textId="32D56F3B">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lastRenderedPageBreak/>
              <w:t xml:space="preserve">Guidance for </w:t>
            </w:r>
            <w:r w:rsidRPr="00D51EE4">
              <w:rPr>
                <w:rFonts w:eastAsia="Times New Roman" w:cstheme="minorHAnsi"/>
                <w:color w:val="000000"/>
                <w:sz w:val="20"/>
                <w:szCs w:val="20"/>
                <w:lang w:val="en-GB"/>
              </w:rPr>
              <w:t>Boarding</w:t>
            </w:r>
            <w:r w:rsidRPr="00D51EE4">
              <w:rPr>
                <w:rFonts w:cstheme="minorHAnsi"/>
                <w:sz w:val="20"/>
                <w:szCs w:val="20"/>
                <w:lang w:val="en-GB"/>
              </w:rPr>
              <w:t xml:space="preserve"> schools/boarding houses (</w:t>
            </w:r>
            <w:r w:rsidRPr="00D51EE4">
              <w:rPr>
                <w:rFonts w:cstheme="minorHAnsi"/>
                <w:b/>
                <w:bCs/>
                <w:sz w:val="20"/>
                <w:szCs w:val="20"/>
                <w:lang w:val="en-GB"/>
              </w:rPr>
              <w:t xml:space="preserve">Myanmar, </w:t>
            </w:r>
            <w:r w:rsidRPr="00D51EE4">
              <w:rPr>
                <w:rFonts w:cstheme="minorHAnsi"/>
                <w:sz w:val="20"/>
                <w:szCs w:val="20"/>
                <w:lang w:val="en-GB"/>
              </w:rPr>
              <w:t>2014)</w:t>
            </w:r>
          </w:p>
          <w:p w:rsidRPr="00D51EE4" w:rsidR="00A54BD9" w:rsidP="00A54BD9" w:rsidRDefault="00A54BD9" w14:paraId="7FFE0366" w14:textId="4120220C">
            <w:pPr>
              <w:pStyle w:val="ListParagraph"/>
              <w:numPr>
                <w:ilvl w:val="0"/>
                <w:numId w:val="21"/>
              </w:numPr>
              <w:spacing w:before="40"/>
              <w:ind w:left="312" w:hanging="284"/>
              <w:rPr>
                <w:rFonts w:eastAsia="Times New Roman" w:cstheme="minorHAnsi"/>
                <w:color w:val="000000"/>
                <w:sz w:val="20"/>
                <w:szCs w:val="20"/>
                <w:lang w:val="en-GB"/>
              </w:rPr>
            </w:pPr>
            <w:r w:rsidRPr="00D51EE4">
              <w:rPr>
                <w:rFonts w:cstheme="minorHAnsi"/>
                <w:sz w:val="20"/>
                <w:szCs w:val="20"/>
                <w:lang w:val="en-GB"/>
              </w:rPr>
              <w:t xml:space="preserve">Cross-cluster matrix to support joint work and </w:t>
            </w:r>
            <w:r w:rsidRPr="00D51EE4">
              <w:rPr>
                <w:rFonts w:eastAsia="Times New Roman" w:cstheme="minorHAnsi"/>
                <w:color w:val="000000"/>
                <w:sz w:val="20"/>
                <w:szCs w:val="20"/>
                <w:lang w:val="en-GB"/>
              </w:rPr>
              <w:t xml:space="preserve">clarify accountabilities between clusters </w:t>
            </w:r>
            <w:r w:rsidRPr="00D51EE4">
              <w:rPr>
                <w:rFonts w:eastAsia="Times New Roman" w:cstheme="minorHAnsi"/>
                <w:b/>
                <w:bCs/>
                <w:color w:val="000000"/>
                <w:sz w:val="20"/>
                <w:szCs w:val="20"/>
                <w:lang w:val="en-GB"/>
              </w:rPr>
              <w:t xml:space="preserve">(South Sudan, </w:t>
            </w:r>
            <w:r w:rsidRPr="00D51EE4">
              <w:rPr>
                <w:rFonts w:eastAsia="Times New Roman" w:cstheme="minorHAnsi"/>
                <w:color w:val="000000"/>
                <w:sz w:val="20"/>
                <w:szCs w:val="20"/>
                <w:lang w:val="en-GB"/>
              </w:rPr>
              <w:t>2016/17</w:t>
            </w:r>
            <w:r w:rsidRPr="00D51EE4">
              <w:rPr>
                <w:rFonts w:eastAsia="Times New Roman" w:cstheme="minorHAnsi"/>
                <w:b/>
                <w:bCs/>
                <w:color w:val="000000"/>
                <w:sz w:val="20"/>
                <w:szCs w:val="20"/>
                <w:lang w:val="en-GB"/>
              </w:rPr>
              <w:t>)</w:t>
            </w:r>
          </w:p>
          <w:p w:rsidRPr="00D51EE4" w:rsidR="003723E1" w:rsidP="00D51EE4" w:rsidRDefault="003723E1" w14:paraId="0239655A" w14:textId="1D3931AD">
            <w:pPr>
              <w:rPr>
                <w:rFonts w:eastAsia="Times New Roman" w:cstheme="minorHAnsi"/>
                <w:color w:val="000000"/>
                <w:sz w:val="20"/>
                <w:szCs w:val="20"/>
                <w:lang w:val="en-GB"/>
              </w:rPr>
            </w:pPr>
          </w:p>
          <w:p w:rsidRPr="00D51EE4" w:rsidR="002B0D60" w:rsidP="003A0DB7" w:rsidRDefault="002B0D60" w14:paraId="6D85BFDE" w14:textId="4BDC8BF4">
            <w:pPr>
              <w:rPr>
                <w:rFonts w:eastAsia="Calibri" w:cstheme="minorHAnsi"/>
                <w:sz w:val="20"/>
                <w:szCs w:val="20"/>
                <w:lang w:val="en-GB"/>
              </w:rPr>
            </w:pPr>
            <w:r w:rsidRPr="003A0DB7">
              <w:rPr>
                <w:rFonts w:eastAsia="Times New Roman" w:cstheme="minorHAnsi"/>
                <w:color w:val="000000"/>
                <w:sz w:val="20"/>
                <w:szCs w:val="20"/>
                <w:u w:val="single"/>
                <w:lang w:val="en-GB"/>
              </w:rPr>
              <w:t>Sectors</w:t>
            </w:r>
            <w:r w:rsidRPr="00D51EE4">
              <w:rPr>
                <w:rFonts w:eastAsia="Calibri" w:cstheme="minorHAnsi"/>
                <w:sz w:val="20"/>
                <w:szCs w:val="20"/>
                <w:u w:val="single"/>
                <w:lang w:val="en-GB"/>
              </w:rPr>
              <w:t xml:space="preserve"> set requirements for minimum mainstreaming /  integrated activities</w:t>
            </w:r>
            <w:r w:rsidRPr="00D51EE4">
              <w:rPr>
                <w:rFonts w:eastAsia="Calibri" w:cstheme="minorHAnsi"/>
                <w:sz w:val="20"/>
                <w:szCs w:val="20"/>
                <w:lang w:val="en-GB"/>
              </w:rPr>
              <w:t xml:space="preserve"> </w:t>
            </w:r>
            <w:bookmarkStart w:name="_Hlk43115430" w:id="0"/>
            <w:r w:rsidRPr="00D51EE4">
              <w:rPr>
                <w:rFonts w:eastAsia="Calibri" w:cstheme="minorHAnsi"/>
                <w:sz w:val="20"/>
                <w:szCs w:val="20"/>
                <w:lang w:val="en-GB"/>
              </w:rPr>
              <w:t>(</w:t>
            </w:r>
            <w:hyperlink w:history="1" r:id="rId13">
              <w:r w:rsidRPr="00D51EE4">
                <w:rPr>
                  <w:rStyle w:val="Hyperlink"/>
                  <w:rFonts w:eastAsia="Calibri" w:cstheme="minorHAnsi"/>
                  <w:b/>
                  <w:bCs/>
                  <w:sz w:val="20"/>
                  <w:szCs w:val="20"/>
                  <w:lang w:val="en-GB"/>
                </w:rPr>
                <w:t xml:space="preserve">Annex </w:t>
              </w:r>
              <w:r w:rsidRPr="00D51EE4" w:rsidR="00406B0E">
                <w:rPr>
                  <w:rStyle w:val="Hyperlink"/>
                  <w:rFonts w:eastAsia="Calibri" w:cstheme="minorHAnsi"/>
                  <w:b/>
                  <w:bCs/>
                  <w:sz w:val="20"/>
                  <w:szCs w:val="20"/>
                  <w:lang w:val="en-GB"/>
                </w:rPr>
                <w:t>12</w:t>
              </w:r>
            </w:hyperlink>
            <w:r w:rsidRPr="00D51EE4">
              <w:rPr>
                <w:rFonts w:eastAsia="Calibri" w:cstheme="minorHAnsi"/>
                <w:sz w:val="20"/>
                <w:szCs w:val="20"/>
                <w:lang w:val="en-GB"/>
              </w:rPr>
              <w:t>)</w:t>
            </w:r>
          </w:p>
          <w:bookmarkEnd w:id="0"/>
          <w:p w:rsidRPr="00D51EE4" w:rsidR="00B61F28" w:rsidP="00B61F28" w:rsidRDefault="00B61F28" w14:paraId="2C4F97E7" w14:textId="728E53F7">
            <w:pPr>
              <w:pStyle w:val="ListParagraph"/>
              <w:numPr>
                <w:ilvl w:val="0"/>
                <w:numId w:val="21"/>
              </w:numPr>
              <w:spacing w:before="40"/>
              <w:ind w:left="312" w:hanging="284"/>
              <w:rPr>
                <w:rFonts w:eastAsia="Times New Roman" w:cstheme="minorHAnsi"/>
                <w:color w:val="000000"/>
                <w:sz w:val="20"/>
                <w:szCs w:val="20"/>
                <w:lang w:val="en-GB"/>
              </w:rPr>
            </w:pPr>
            <w:proofErr w:type="spellStart"/>
            <w:r w:rsidRPr="00D51EE4">
              <w:rPr>
                <w:rFonts w:eastAsia="Times New Roman" w:cstheme="minorHAnsi"/>
                <w:color w:val="000000"/>
                <w:sz w:val="20"/>
                <w:szCs w:val="20"/>
                <w:lang w:val="en-GB"/>
              </w:rPr>
              <w:t>ToRs</w:t>
            </w:r>
            <w:proofErr w:type="spellEnd"/>
            <w:r w:rsidRPr="00D51EE4">
              <w:rPr>
                <w:rFonts w:eastAsia="Times New Roman" w:cstheme="minorHAnsi"/>
                <w:color w:val="000000"/>
                <w:sz w:val="20"/>
                <w:szCs w:val="20"/>
                <w:lang w:val="en-GB"/>
              </w:rPr>
              <w:t xml:space="preserve"> on Mainstreaming (</w:t>
            </w:r>
            <w:hyperlink w:history="1" r:id="rId14">
              <w:r w:rsidRPr="00D51EE4" w:rsidR="0035024E">
                <w:rPr>
                  <w:rStyle w:val="Hyperlink"/>
                  <w:rFonts w:cstheme="minorHAnsi"/>
                  <w:b/>
                  <w:bCs/>
                  <w:sz w:val="20"/>
                  <w:szCs w:val="20"/>
                  <w:lang w:val="en-GB"/>
                </w:rPr>
                <w:t>Zimbabwe</w:t>
              </w:r>
            </w:hyperlink>
            <w:r w:rsidRPr="00D51EE4">
              <w:rPr>
                <w:rFonts w:eastAsia="Times New Roman" w:cstheme="minorHAnsi"/>
                <w:color w:val="000000"/>
                <w:sz w:val="20"/>
                <w:szCs w:val="20"/>
                <w:lang w:val="en-GB"/>
              </w:rPr>
              <w:t>)</w:t>
            </w:r>
          </w:p>
          <w:p w:rsidRPr="00D51EE4" w:rsidR="00B61F28" w:rsidP="00B61F28" w:rsidRDefault="00B61F28" w14:paraId="04834AF8" w14:textId="77777777">
            <w:pPr>
              <w:pStyle w:val="ListParagraph"/>
              <w:numPr>
                <w:ilvl w:val="0"/>
                <w:numId w:val="21"/>
              </w:numPr>
              <w:spacing w:before="40"/>
              <w:ind w:left="312" w:hanging="284"/>
              <w:rPr>
                <w:rFonts w:eastAsia="Times New Roman" w:cstheme="minorHAnsi"/>
                <w:color w:val="000000"/>
                <w:sz w:val="20"/>
                <w:szCs w:val="20"/>
                <w:lang w:val="en-GB"/>
              </w:rPr>
            </w:pPr>
            <w:r w:rsidRPr="00D51EE4">
              <w:rPr>
                <w:rFonts w:eastAsia="Times New Roman" w:cstheme="minorHAnsi"/>
                <w:color w:val="000000"/>
                <w:sz w:val="20"/>
                <w:szCs w:val="20"/>
                <w:lang w:val="en-GB"/>
              </w:rPr>
              <w:t>Integration checklist (</w:t>
            </w:r>
            <w:r w:rsidRPr="00D51EE4">
              <w:rPr>
                <w:rFonts w:eastAsia="Times New Roman" w:cstheme="minorHAnsi"/>
                <w:b/>
                <w:bCs/>
                <w:color w:val="000000"/>
                <w:sz w:val="20"/>
                <w:szCs w:val="20"/>
                <w:lang w:val="en-GB"/>
              </w:rPr>
              <w:t>Nigeria</w:t>
            </w:r>
            <w:r w:rsidRPr="00D51EE4">
              <w:rPr>
                <w:rFonts w:eastAsia="Times New Roman" w:cstheme="minorHAnsi"/>
                <w:color w:val="000000"/>
                <w:sz w:val="20"/>
                <w:szCs w:val="20"/>
                <w:lang w:val="en-GB"/>
              </w:rPr>
              <w:t>)</w:t>
            </w:r>
          </w:p>
          <w:p w:rsidRPr="00D51EE4" w:rsidR="0035024E" w:rsidP="002B0D60" w:rsidRDefault="00B61F28" w14:paraId="415BD442" w14:textId="77777777">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 xml:space="preserve">PSS </w:t>
            </w:r>
            <w:r w:rsidRPr="00D51EE4" w:rsidR="002B0D60">
              <w:rPr>
                <w:rFonts w:eastAsia="Times New Roman" w:cstheme="minorHAnsi"/>
                <w:color w:val="000000"/>
                <w:sz w:val="20"/>
                <w:szCs w:val="20"/>
                <w:lang w:val="en-GB"/>
              </w:rPr>
              <w:t xml:space="preserve">&amp; CP </w:t>
            </w:r>
            <w:r w:rsidRPr="00D51EE4">
              <w:rPr>
                <w:rFonts w:eastAsia="Times New Roman" w:cstheme="minorHAnsi"/>
                <w:color w:val="000000"/>
                <w:sz w:val="20"/>
                <w:szCs w:val="20"/>
                <w:lang w:val="en-GB"/>
              </w:rPr>
              <w:t xml:space="preserve">in schools </w:t>
            </w:r>
            <w:hyperlink w:history="1" r:id="rId15">
              <w:r w:rsidRPr="00D51EE4">
                <w:rPr>
                  <w:rStyle w:val="Hyperlink"/>
                  <w:rFonts w:eastAsia="Times New Roman" w:cstheme="minorHAnsi"/>
                  <w:sz w:val="20"/>
                  <w:szCs w:val="20"/>
                  <w:lang w:val="en-GB"/>
                </w:rPr>
                <w:t>checklist</w:t>
              </w:r>
            </w:hyperlink>
            <w:r w:rsidRPr="00D51EE4">
              <w:rPr>
                <w:rFonts w:cstheme="minorHAnsi"/>
                <w:sz w:val="20"/>
                <w:szCs w:val="20"/>
                <w:lang w:val="en-GB"/>
              </w:rPr>
              <w:t xml:space="preserve"> (</w:t>
            </w:r>
            <w:r w:rsidRPr="00D51EE4">
              <w:rPr>
                <w:rFonts w:cstheme="minorHAnsi"/>
                <w:b/>
                <w:sz w:val="20"/>
                <w:szCs w:val="20"/>
                <w:lang w:val="en-GB"/>
              </w:rPr>
              <w:t>South Sudan</w:t>
            </w:r>
            <w:r w:rsidRPr="00D51EE4">
              <w:rPr>
                <w:rFonts w:cstheme="minorHAnsi"/>
                <w:sz w:val="20"/>
                <w:szCs w:val="20"/>
                <w:lang w:val="en-GB"/>
              </w:rPr>
              <w:t>)</w:t>
            </w:r>
            <w:r w:rsidRPr="00D51EE4" w:rsidR="002B0D60">
              <w:rPr>
                <w:rFonts w:cstheme="minorHAnsi"/>
                <w:sz w:val="20"/>
                <w:szCs w:val="20"/>
                <w:lang w:val="en-GB"/>
              </w:rPr>
              <w:t xml:space="preserve"> </w:t>
            </w:r>
          </w:p>
          <w:p w:rsidRPr="00D51EE4" w:rsidR="002B0D60" w:rsidP="002B0D60" w:rsidRDefault="00E1190C" w14:paraId="1B3B3143" w14:textId="260B7214">
            <w:pPr>
              <w:pStyle w:val="ListParagraph"/>
              <w:numPr>
                <w:ilvl w:val="0"/>
                <w:numId w:val="21"/>
              </w:numPr>
              <w:spacing w:before="40"/>
              <w:ind w:left="312" w:hanging="284"/>
              <w:rPr>
                <w:rFonts w:cstheme="minorHAnsi"/>
                <w:sz w:val="20"/>
                <w:szCs w:val="20"/>
                <w:lang w:val="en-GB"/>
              </w:rPr>
            </w:pPr>
            <w:hyperlink w:history="1" r:id="rId16">
              <w:r w:rsidRPr="00D51EE4" w:rsidR="0035024E">
                <w:rPr>
                  <w:rStyle w:val="Hyperlink"/>
                  <w:rFonts w:cstheme="minorHAnsi"/>
                  <w:sz w:val="20"/>
                  <w:szCs w:val="20"/>
                  <w:lang w:val="en-GB"/>
                </w:rPr>
                <w:t>Ge</w:t>
              </w:r>
              <w:r w:rsidRPr="00D51EE4" w:rsidR="002B0D60">
                <w:rPr>
                  <w:rStyle w:val="Hyperlink"/>
                  <w:rFonts w:cstheme="minorHAnsi"/>
                  <w:sz w:val="20"/>
                  <w:szCs w:val="20"/>
                  <w:lang w:val="en-GB"/>
                </w:rPr>
                <w:t>neral</w:t>
              </w:r>
            </w:hyperlink>
            <w:r w:rsidRPr="00D51EE4" w:rsidR="0035024E">
              <w:rPr>
                <w:rStyle w:val="Hyperlink"/>
                <w:rFonts w:cstheme="minorHAnsi"/>
                <w:sz w:val="20"/>
                <w:szCs w:val="20"/>
                <w:lang w:val="en-GB"/>
              </w:rPr>
              <w:t xml:space="preserve"> </w:t>
            </w:r>
            <w:r w:rsidRPr="00D51EE4" w:rsidR="002B0D60">
              <w:rPr>
                <w:rFonts w:cstheme="minorHAnsi"/>
                <w:sz w:val="20"/>
                <w:szCs w:val="20"/>
                <w:lang w:val="en-GB"/>
              </w:rPr>
              <w:t>example</w:t>
            </w:r>
          </w:p>
          <w:p w:rsidRPr="00D51EE4" w:rsidR="00B61F28" w:rsidP="00D51EE4" w:rsidRDefault="00B61F28" w14:paraId="39DDD8DD" w14:textId="77777777">
            <w:pPr>
              <w:rPr>
                <w:rFonts w:eastAsia="Times New Roman" w:cstheme="minorHAnsi"/>
                <w:color w:val="000000"/>
                <w:sz w:val="20"/>
                <w:szCs w:val="20"/>
                <w:lang w:val="en-GB"/>
              </w:rPr>
            </w:pPr>
          </w:p>
          <w:p w:rsidRPr="00D51EE4" w:rsidR="009A66E3" w:rsidP="003A0DB7" w:rsidRDefault="009A66E3" w14:paraId="6FF36FA3" w14:textId="0D67AB1B">
            <w:pPr>
              <w:rPr>
                <w:rFonts w:cstheme="minorHAnsi"/>
                <w:sz w:val="20"/>
                <w:szCs w:val="20"/>
                <w:u w:val="single"/>
                <w:lang w:val="en-GB"/>
              </w:rPr>
            </w:pPr>
            <w:r w:rsidRPr="00D51EE4">
              <w:rPr>
                <w:rFonts w:eastAsia="Times New Roman" w:cstheme="minorHAnsi"/>
                <w:color w:val="000000"/>
                <w:sz w:val="20"/>
                <w:szCs w:val="20"/>
                <w:u w:val="single"/>
                <w:lang w:val="en-GB"/>
              </w:rPr>
              <w:t>Participation in each sector’s meetings to facilitate systemati</w:t>
            </w:r>
            <w:r w:rsidR="00292524">
              <w:rPr>
                <w:rFonts w:eastAsia="Times New Roman" w:cstheme="minorHAnsi"/>
                <w:color w:val="000000"/>
                <w:sz w:val="20"/>
                <w:szCs w:val="20"/>
                <w:u w:val="single"/>
                <w:lang w:val="en-GB"/>
              </w:rPr>
              <w:t>s</w:t>
            </w:r>
            <w:r w:rsidRPr="00D51EE4">
              <w:rPr>
                <w:rFonts w:eastAsia="Times New Roman" w:cstheme="minorHAnsi"/>
                <w:color w:val="000000"/>
                <w:sz w:val="20"/>
                <w:szCs w:val="20"/>
                <w:u w:val="single"/>
                <w:lang w:val="en-GB"/>
              </w:rPr>
              <w:t>ed joint approaches</w:t>
            </w:r>
          </w:p>
          <w:p w:rsidRPr="00D51EE4" w:rsidR="009A66E3" w:rsidP="003723E1" w:rsidRDefault="009A66E3" w14:paraId="690EC669" w14:textId="77777777">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 xml:space="preserve">Establish focal points (x2 </w:t>
            </w:r>
            <w:r w:rsidRPr="00D51EE4">
              <w:rPr>
                <w:rFonts w:cstheme="minorHAnsi"/>
                <w:sz w:val="20"/>
                <w:szCs w:val="20"/>
                <w:lang w:val="en-GB"/>
              </w:rPr>
              <w:t>from</w:t>
            </w:r>
            <w:r w:rsidRPr="00D51EE4">
              <w:rPr>
                <w:rFonts w:eastAsia="Times New Roman" w:cstheme="minorHAnsi"/>
                <w:color w:val="000000"/>
                <w:sz w:val="20"/>
                <w:szCs w:val="20"/>
                <w:lang w:val="en-GB"/>
              </w:rPr>
              <w:t xml:space="preserve"> each sector) to attend others’ meetings</w:t>
            </w:r>
          </w:p>
          <w:p w:rsidRPr="00D51EE4" w:rsidR="003723E1" w:rsidP="003723E1" w:rsidRDefault="009A66E3" w14:paraId="015A41B3" w14:textId="7B92D426">
            <w:pPr>
              <w:pStyle w:val="ListParagraph"/>
              <w:numPr>
                <w:ilvl w:val="0"/>
                <w:numId w:val="21"/>
              </w:numPr>
              <w:spacing w:before="40"/>
              <w:ind w:left="312" w:hanging="284"/>
              <w:rPr>
                <w:rFonts w:cstheme="minorHAnsi"/>
                <w:b/>
                <w:sz w:val="20"/>
                <w:szCs w:val="20"/>
                <w:lang w:val="en-GB"/>
              </w:rPr>
            </w:pPr>
            <w:r w:rsidRPr="00D51EE4">
              <w:rPr>
                <w:rFonts w:eastAsia="Times New Roman" w:cstheme="minorHAnsi"/>
                <w:color w:val="000000"/>
                <w:sz w:val="20"/>
                <w:szCs w:val="20"/>
                <w:lang w:val="en-GB"/>
              </w:rPr>
              <w:t xml:space="preserve">Inviting </w:t>
            </w:r>
            <w:r w:rsidRPr="00D51EE4">
              <w:rPr>
                <w:rFonts w:cstheme="minorHAnsi"/>
                <w:sz w:val="20"/>
                <w:szCs w:val="20"/>
                <w:lang w:val="en-GB"/>
              </w:rPr>
              <w:t>coordinators</w:t>
            </w:r>
            <w:r w:rsidRPr="00D51EE4">
              <w:rPr>
                <w:rFonts w:eastAsia="Times New Roman" w:cstheme="minorHAnsi"/>
                <w:color w:val="000000"/>
                <w:sz w:val="20"/>
                <w:szCs w:val="20"/>
                <w:lang w:val="en-GB"/>
              </w:rPr>
              <w:t xml:space="preserve"> in specific meetings to discuss inter-sectoral points </w:t>
            </w:r>
            <w:r w:rsidRPr="00D51EE4">
              <w:rPr>
                <w:rFonts w:eastAsia="Times New Roman" w:cstheme="minorHAnsi"/>
                <w:b/>
                <w:color w:val="000000"/>
                <w:sz w:val="20"/>
                <w:szCs w:val="20"/>
                <w:lang w:val="en-GB"/>
              </w:rPr>
              <w:t>(WCA</w:t>
            </w:r>
            <w:r w:rsidR="001410A4">
              <w:rPr>
                <w:rFonts w:eastAsia="Times New Roman" w:cstheme="minorHAnsi"/>
                <w:b/>
                <w:color w:val="000000"/>
                <w:sz w:val="20"/>
                <w:szCs w:val="20"/>
                <w:lang w:val="en-GB"/>
              </w:rPr>
              <w:t>RO</w:t>
            </w:r>
            <w:r w:rsidRPr="00D51EE4">
              <w:rPr>
                <w:rFonts w:eastAsia="Times New Roman" w:cstheme="minorHAnsi"/>
                <w:b/>
                <w:color w:val="000000"/>
                <w:sz w:val="20"/>
                <w:szCs w:val="20"/>
                <w:lang w:val="en-GB"/>
              </w:rPr>
              <w:t xml:space="preserve">, Somalia, Afghanistan, Nigeria, </w:t>
            </w:r>
            <w:r w:rsidRPr="00D51EE4" w:rsidR="00406B0E">
              <w:rPr>
                <w:rFonts w:eastAsia="Calibri" w:cstheme="minorHAnsi"/>
                <w:b/>
                <w:bCs/>
                <w:sz w:val="20"/>
                <w:szCs w:val="20"/>
                <w:lang w:val="en-GB"/>
              </w:rPr>
              <w:t>Cox’s Bazaar</w:t>
            </w:r>
            <w:r w:rsidRPr="00D51EE4">
              <w:rPr>
                <w:rFonts w:eastAsia="Times New Roman" w:cstheme="minorHAnsi"/>
                <w:b/>
                <w:color w:val="000000"/>
                <w:sz w:val="20"/>
                <w:szCs w:val="20"/>
                <w:lang w:val="en-GB"/>
              </w:rPr>
              <w:t>, oPt, Iraq)</w:t>
            </w:r>
          </w:p>
          <w:p w:rsidRPr="00D51EE4" w:rsidR="009A66E3" w:rsidP="003723E1" w:rsidRDefault="009A66E3" w14:paraId="3FDDC845" w14:textId="77777777">
            <w:pPr>
              <w:pStyle w:val="ListParagraph"/>
              <w:numPr>
                <w:ilvl w:val="0"/>
                <w:numId w:val="21"/>
              </w:numPr>
              <w:spacing w:before="40"/>
              <w:ind w:left="312" w:hanging="284"/>
              <w:rPr>
                <w:rFonts w:cstheme="minorHAnsi"/>
                <w:b/>
                <w:sz w:val="20"/>
                <w:szCs w:val="20"/>
                <w:lang w:val="en-GB"/>
              </w:rPr>
            </w:pPr>
            <w:r w:rsidRPr="00D51EE4">
              <w:rPr>
                <w:rFonts w:cstheme="minorHAnsi"/>
                <w:sz w:val="20"/>
                <w:szCs w:val="20"/>
                <w:lang w:val="en-GB"/>
              </w:rPr>
              <w:t xml:space="preserve">Joint meetings to discuss common issues; e.g. for the issue of child labour in Gaza, CP and Education held joint meetings with partners to better understand the needs of injured children and established referral systems to address this. Information sharing protocols were set up where cross-cutting information received from partners was shared from the IM to both sector coordinators </w:t>
            </w:r>
            <w:r w:rsidRPr="00D51EE4">
              <w:rPr>
                <w:rFonts w:cstheme="minorHAnsi"/>
                <w:b/>
                <w:sz w:val="20"/>
                <w:szCs w:val="20"/>
                <w:lang w:val="en-GB"/>
              </w:rPr>
              <w:t>(oPt)</w:t>
            </w:r>
          </w:p>
          <w:p w:rsidRPr="00D51EE4" w:rsidR="003723E1" w:rsidP="00D51EE4" w:rsidRDefault="003723E1" w14:paraId="3700D601" w14:textId="77777777">
            <w:pPr>
              <w:rPr>
                <w:rFonts w:cstheme="minorHAnsi"/>
                <w:b/>
                <w:sz w:val="20"/>
                <w:szCs w:val="20"/>
                <w:lang w:val="en-GB"/>
              </w:rPr>
            </w:pPr>
          </w:p>
          <w:p w:rsidRPr="00D51EE4" w:rsidR="003723E1" w:rsidP="003A0DB7" w:rsidRDefault="003723E1" w14:paraId="58B44166" w14:textId="77777777">
            <w:pPr>
              <w:rPr>
                <w:rFonts w:eastAsia="Times New Roman" w:cstheme="minorHAnsi"/>
                <w:color w:val="000000"/>
                <w:sz w:val="20"/>
                <w:szCs w:val="20"/>
                <w:u w:val="single"/>
                <w:lang w:val="en-GB"/>
              </w:rPr>
            </w:pPr>
            <w:r w:rsidRPr="00D51EE4">
              <w:rPr>
                <w:rFonts w:eastAsia="Times New Roman" w:cstheme="minorHAnsi"/>
                <w:color w:val="000000"/>
                <w:sz w:val="20"/>
                <w:szCs w:val="20"/>
                <w:u w:val="single"/>
                <w:lang w:val="en-GB"/>
              </w:rPr>
              <w:t>Cross-sector referral mechanisms</w:t>
            </w:r>
          </w:p>
          <w:p w:rsidRPr="00D51EE4" w:rsidR="00B61F28" w:rsidP="04C5A6C8" w:rsidRDefault="00B61F28" w14:paraId="27761275" w14:textId="28FBCCC3">
            <w:pPr>
              <w:pStyle w:val="ListParagraph"/>
              <w:numPr>
                <w:ilvl w:val="0"/>
                <w:numId w:val="21"/>
              </w:numPr>
              <w:spacing w:before="40"/>
              <w:ind w:left="312" w:hanging="284"/>
              <w:rPr>
                <w:rFonts w:cs="Calibri" w:cstheme="minorAscii"/>
                <w:sz w:val="20"/>
                <w:szCs w:val="20"/>
                <w:lang w:val="en-GB"/>
              </w:rPr>
            </w:pPr>
            <w:hyperlink r:id="R18e7efa2dc034ed6">
              <w:r w:rsidRPr="04C5A6C8" w:rsidR="04C5A6C8">
                <w:rPr>
                  <w:rStyle w:val="Hyperlink"/>
                  <w:rFonts w:cs="Calibri" w:cstheme="minorAscii"/>
                  <w:sz w:val="20"/>
                  <w:szCs w:val="20"/>
                  <w:lang w:val="en-GB"/>
                </w:rPr>
                <w:t>Referral Pathway template and guidance</w:t>
              </w:r>
            </w:hyperlink>
            <w:r w:rsidRPr="04C5A6C8" w:rsidR="04C5A6C8">
              <w:rPr>
                <w:rFonts w:cs="Calibri" w:cstheme="minorAscii"/>
                <w:sz w:val="20"/>
                <w:szCs w:val="20"/>
                <w:lang w:val="en-GB"/>
              </w:rPr>
              <w:t xml:space="preserve"> (UNICEF </w:t>
            </w:r>
            <w:r w:rsidRPr="04C5A6C8" w:rsidR="04C5A6C8">
              <w:rPr>
                <w:rFonts w:cs="Calibri" w:cstheme="minorAscii"/>
                <w:b w:val="1"/>
                <w:bCs w:val="1"/>
                <w:sz w:val="20"/>
                <w:szCs w:val="20"/>
                <w:lang w:val="en-GB"/>
              </w:rPr>
              <w:t>East Asia and Pacific</w:t>
            </w:r>
            <w:r w:rsidRPr="04C5A6C8" w:rsidR="04C5A6C8">
              <w:rPr>
                <w:rFonts w:cs="Calibri" w:cstheme="minorAscii"/>
                <w:sz w:val="20"/>
                <w:szCs w:val="20"/>
                <w:lang w:val="en-GB"/>
              </w:rPr>
              <w:t xml:space="preserve"> RO)</w:t>
            </w:r>
          </w:p>
          <w:p w:rsidRPr="00D51EE4" w:rsidR="00B61F28" w:rsidP="04C5A6C8" w:rsidRDefault="00B61F28" w14:paraId="163DDBB2" w14:textId="63DD00BC">
            <w:pPr>
              <w:pStyle w:val="ListParagraph"/>
              <w:numPr>
                <w:ilvl w:val="0"/>
                <w:numId w:val="21"/>
              </w:numPr>
              <w:spacing w:before="40"/>
              <w:ind w:left="312" w:hanging="284"/>
              <w:rPr>
                <w:sz w:val="20"/>
                <w:szCs w:val="20"/>
                <w:lang w:val="en-GB"/>
              </w:rPr>
            </w:pPr>
            <w:r w:rsidRPr="04C5A6C8" w:rsidR="04C5A6C8">
              <w:rPr>
                <w:rFonts w:cs="Calibri" w:cstheme="minorAscii"/>
                <w:sz w:val="20"/>
                <w:szCs w:val="20"/>
                <w:lang w:val="en-GB"/>
              </w:rPr>
              <w:t xml:space="preserve">CP </w:t>
            </w:r>
            <w:hyperlink r:id="R991fb72506914960">
              <w:r w:rsidRPr="04C5A6C8" w:rsidR="04C5A6C8">
                <w:rPr>
                  <w:rStyle w:val="Hyperlink"/>
                  <w:rFonts w:cs="Calibri" w:cstheme="minorAscii"/>
                  <w:sz w:val="20"/>
                  <w:szCs w:val="20"/>
                  <w:lang w:val="en-GB"/>
                </w:rPr>
                <w:t>Service Mapping tool</w:t>
              </w:r>
            </w:hyperlink>
            <w:r w:rsidRPr="04C5A6C8" w:rsidR="04C5A6C8">
              <w:rPr>
                <w:rFonts w:cs="Calibri" w:cstheme="minorAscii"/>
                <w:sz w:val="20"/>
                <w:szCs w:val="20"/>
                <w:lang w:val="en-GB"/>
              </w:rPr>
              <w:t xml:space="preserve"> (</w:t>
            </w:r>
            <w:r w:rsidRPr="04C5A6C8" w:rsidR="04C5A6C8">
              <w:rPr>
                <w:rFonts w:cs="Calibri" w:cstheme="minorAscii"/>
                <w:b w:val="1"/>
                <w:bCs w:val="1"/>
                <w:sz w:val="20"/>
                <w:szCs w:val="20"/>
                <w:lang w:val="en-GB"/>
              </w:rPr>
              <w:t>Somalia)</w:t>
            </w:r>
          </w:p>
          <w:p w:rsidRPr="00D51EE4" w:rsidR="00B61F28" w:rsidP="00B61F28" w:rsidRDefault="00E1190C" w14:paraId="4E596B78" w14:textId="77777777">
            <w:pPr>
              <w:pStyle w:val="ListParagraph"/>
              <w:numPr>
                <w:ilvl w:val="0"/>
                <w:numId w:val="21"/>
              </w:numPr>
              <w:spacing w:before="40"/>
              <w:ind w:left="312" w:hanging="284"/>
              <w:rPr>
                <w:rFonts w:cstheme="minorHAnsi"/>
                <w:sz w:val="20"/>
                <w:szCs w:val="20"/>
                <w:lang w:val="en-GB"/>
              </w:rPr>
            </w:pPr>
            <w:hyperlink w:history="1" r:id="rId18">
              <w:r w:rsidRPr="00D51EE4" w:rsidR="00B61F28">
                <w:rPr>
                  <w:rStyle w:val="Hyperlink"/>
                  <w:rFonts w:cstheme="minorHAnsi"/>
                  <w:sz w:val="20"/>
                  <w:szCs w:val="20"/>
                  <w:lang w:val="en-GB"/>
                </w:rPr>
                <w:t>CP focal point in schools ToR</w:t>
              </w:r>
            </w:hyperlink>
            <w:r w:rsidRPr="00D51EE4" w:rsidR="00B61F28">
              <w:rPr>
                <w:rFonts w:cstheme="minorHAnsi"/>
                <w:sz w:val="20"/>
                <w:szCs w:val="20"/>
                <w:lang w:val="en-GB"/>
              </w:rPr>
              <w:t xml:space="preserve"> (</w:t>
            </w:r>
            <w:r w:rsidRPr="00D51EE4" w:rsidR="00B61F28">
              <w:rPr>
                <w:rFonts w:cstheme="minorHAnsi"/>
                <w:b/>
                <w:sz w:val="20"/>
                <w:szCs w:val="20"/>
                <w:lang w:val="en-GB"/>
              </w:rPr>
              <w:t>Somalia)</w:t>
            </w:r>
          </w:p>
          <w:p w:rsidRPr="00D51EE4" w:rsidR="002B0D60" w:rsidP="00B61F28" w:rsidRDefault="00E1190C" w14:paraId="233D5914" w14:textId="1033A559">
            <w:pPr>
              <w:pStyle w:val="ListParagraph"/>
              <w:numPr>
                <w:ilvl w:val="0"/>
                <w:numId w:val="21"/>
              </w:numPr>
              <w:spacing w:before="40"/>
              <w:ind w:left="312" w:hanging="284"/>
              <w:rPr>
                <w:rFonts w:cstheme="minorHAnsi"/>
                <w:sz w:val="20"/>
                <w:szCs w:val="20"/>
                <w:lang w:val="en-GB"/>
              </w:rPr>
            </w:pPr>
            <w:hyperlink w:history="1" r:id="rId19">
              <w:r w:rsidRPr="00D51EE4" w:rsidR="002B0D60">
                <w:rPr>
                  <w:rStyle w:val="Hyperlink"/>
                  <w:rFonts w:cstheme="minorHAnsi"/>
                  <w:sz w:val="20"/>
                  <w:szCs w:val="20"/>
                  <w:lang w:val="en-GB"/>
                </w:rPr>
                <w:t>Inter-agency SOPs for CP</w:t>
              </w:r>
            </w:hyperlink>
            <w:r w:rsidRPr="00D51EE4" w:rsidR="002B0D60">
              <w:rPr>
                <w:rFonts w:cstheme="minorHAnsi"/>
                <w:sz w:val="20"/>
                <w:szCs w:val="20"/>
                <w:lang w:val="en-GB"/>
              </w:rPr>
              <w:t xml:space="preserve"> Case Management and Referrals  </w:t>
            </w:r>
            <w:r w:rsidRPr="00D51EE4" w:rsidR="002B0D60">
              <w:rPr>
                <w:rFonts w:cstheme="minorHAnsi"/>
                <w:b/>
                <w:bCs/>
                <w:sz w:val="20"/>
                <w:szCs w:val="20"/>
                <w:lang w:val="en-GB"/>
              </w:rPr>
              <w:t>(oPt)</w:t>
            </w:r>
          </w:p>
        </w:tc>
        <w:tc>
          <w:tcPr>
            <w:tcW w:w="3119" w:type="dxa"/>
            <w:tcMar/>
          </w:tcPr>
          <w:p w:rsidRPr="00D51EE4" w:rsidR="00AE0E1B" w:rsidP="00AE0E1B" w:rsidRDefault="00AE0E1B" w14:paraId="5CC8B82D" w14:textId="2D4F1ACC">
            <w:pPr>
              <w:spacing w:before="40"/>
              <w:rPr>
                <w:rFonts w:cstheme="minorHAnsi"/>
                <w:sz w:val="20"/>
                <w:szCs w:val="20"/>
                <w:lang w:val="en-GB"/>
              </w:rPr>
            </w:pPr>
            <w:bookmarkStart w:name="_Hlk43119413" w:id="1"/>
            <w:r w:rsidRPr="00D51EE4">
              <w:rPr>
                <w:rFonts w:cstheme="minorHAnsi"/>
                <w:sz w:val="20"/>
                <w:szCs w:val="20"/>
                <w:lang w:val="en-GB"/>
              </w:rPr>
              <w:lastRenderedPageBreak/>
              <w:t> </w:t>
            </w:r>
            <w:bookmarkEnd w:id="1"/>
            <w:r w:rsidRPr="00D51EE4">
              <w:rPr>
                <w:rFonts w:cstheme="minorHAnsi"/>
                <w:sz w:val="20"/>
                <w:szCs w:val="20"/>
                <w:u w:val="single"/>
                <w:lang w:val="en-GB"/>
              </w:rPr>
              <w:t>Technical</w:t>
            </w:r>
            <w:r w:rsidRPr="00D51EE4">
              <w:rPr>
                <w:rFonts w:eastAsia="Times New Roman" w:cstheme="minorHAnsi"/>
                <w:color w:val="000000"/>
                <w:sz w:val="20"/>
                <w:szCs w:val="20"/>
                <w:u w:val="single"/>
                <w:lang w:val="en-GB"/>
              </w:rPr>
              <w:t xml:space="preserve"> standards </w:t>
            </w:r>
            <w:r w:rsidRPr="00D51EE4">
              <w:rPr>
                <w:rFonts w:eastAsia="Times New Roman" w:cstheme="minorHAnsi"/>
                <w:color w:val="000000"/>
                <w:sz w:val="20"/>
                <w:szCs w:val="20"/>
                <w:lang w:val="en-GB"/>
              </w:rPr>
              <w:t>developed by one sector to support delivery of complementary / integrated activities through the other sector:</w:t>
            </w:r>
          </w:p>
          <w:p w:rsidRPr="00D51EE4" w:rsidR="00AE0E1B" w:rsidP="00AE0E1B" w:rsidRDefault="00AE0E1B" w14:paraId="1B4E7E47" w14:textId="0363C7A8">
            <w:pPr>
              <w:pStyle w:val="ListParagraph"/>
              <w:numPr>
                <w:ilvl w:val="0"/>
                <w:numId w:val="21"/>
              </w:numPr>
              <w:spacing w:before="40"/>
              <w:ind w:left="312" w:hanging="284"/>
              <w:rPr>
                <w:rStyle w:val="Hyperlink"/>
                <w:rFonts w:cstheme="minorHAnsi"/>
                <w:b/>
                <w:color w:val="auto"/>
                <w:sz w:val="20"/>
                <w:szCs w:val="20"/>
                <w:u w:val="none"/>
                <w:lang w:val="en-GB"/>
              </w:rPr>
            </w:pPr>
            <w:r w:rsidRPr="00D51EE4">
              <w:rPr>
                <w:rFonts w:cstheme="minorHAnsi"/>
                <w:sz w:val="20"/>
                <w:szCs w:val="20"/>
                <w:lang w:val="en-GB"/>
              </w:rPr>
              <w:t>Activity</w:t>
            </w:r>
            <w:r w:rsidRPr="00D51EE4">
              <w:rPr>
                <w:rFonts w:eastAsia="Times New Roman" w:cstheme="minorHAnsi"/>
                <w:color w:val="000000"/>
                <w:sz w:val="20"/>
                <w:szCs w:val="20"/>
                <w:lang w:val="en-GB"/>
              </w:rPr>
              <w:t xml:space="preserve"> standards for integrated activities set by CP, with responsibility delineated in </w:t>
            </w:r>
            <w:hyperlink w:history="1" r:id="rId20">
              <w:r w:rsidRPr="00D51EE4">
                <w:rPr>
                  <w:rStyle w:val="Hyperlink"/>
                  <w:rFonts w:eastAsia="Times New Roman" w:cstheme="minorHAnsi"/>
                  <w:sz w:val="20"/>
                  <w:szCs w:val="20"/>
                  <w:lang w:val="en-GB"/>
                </w:rPr>
                <w:t xml:space="preserve">Integrated Education – Child </w:t>
              </w:r>
              <w:r w:rsidRPr="00D51EE4">
                <w:rPr>
                  <w:rStyle w:val="Hyperlink"/>
                  <w:rFonts w:cstheme="minorHAnsi"/>
                  <w:sz w:val="20"/>
                  <w:szCs w:val="20"/>
                  <w:lang w:val="en-GB"/>
                </w:rPr>
                <w:t>Protection</w:t>
              </w:r>
              <w:r w:rsidRPr="00D51EE4">
                <w:rPr>
                  <w:rStyle w:val="Hyperlink"/>
                  <w:rFonts w:eastAsia="Times New Roman" w:cstheme="minorHAnsi"/>
                  <w:sz w:val="20"/>
                  <w:szCs w:val="20"/>
                  <w:lang w:val="en-GB"/>
                </w:rPr>
                <w:t xml:space="preserve"> Response Framework</w:t>
              </w:r>
            </w:hyperlink>
            <w:r w:rsidRPr="00D51EE4" w:rsidR="00EB368D">
              <w:rPr>
                <w:rFonts w:cstheme="minorHAnsi"/>
                <w:b/>
                <w:sz w:val="20"/>
                <w:szCs w:val="20"/>
                <w:lang w:val="en-GB"/>
              </w:rPr>
              <w:t xml:space="preserve"> (Somalia)</w:t>
            </w:r>
          </w:p>
          <w:p w:rsidRPr="00D51EE4" w:rsidR="009A66E3" w:rsidP="009A66E3" w:rsidRDefault="009A66E3" w14:paraId="22218294" w14:textId="5E832A7C">
            <w:pPr>
              <w:ind w:right="-89"/>
              <w:rPr>
                <w:rFonts w:eastAsia="Calibri" w:cstheme="minorHAnsi"/>
                <w:sz w:val="20"/>
                <w:szCs w:val="20"/>
                <w:lang w:val="en-GB"/>
              </w:rPr>
            </w:pPr>
          </w:p>
          <w:p w:rsidRPr="00D51EE4" w:rsidR="009A66E3" w:rsidP="003A0DB7" w:rsidRDefault="009A66E3" w14:paraId="3C64143D" w14:textId="20634297">
            <w:pPr>
              <w:rPr>
                <w:rFonts w:cstheme="minorHAnsi"/>
                <w:sz w:val="20"/>
                <w:szCs w:val="20"/>
                <w:lang w:val="en-GB"/>
              </w:rPr>
            </w:pPr>
            <w:r w:rsidRPr="00D51EE4">
              <w:rPr>
                <w:rFonts w:cstheme="minorHAnsi"/>
                <w:sz w:val="20"/>
                <w:szCs w:val="20"/>
                <w:u w:val="single"/>
                <w:lang w:val="en-GB"/>
              </w:rPr>
              <w:t>Technical</w:t>
            </w:r>
            <w:r w:rsidRPr="00D51EE4">
              <w:rPr>
                <w:rFonts w:eastAsia="Times New Roman" w:cstheme="minorHAnsi"/>
                <w:color w:val="000000"/>
                <w:sz w:val="20"/>
                <w:szCs w:val="20"/>
                <w:u w:val="single"/>
                <w:lang w:val="en-GB"/>
              </w:rPr>
              <w:t xml:space="preserve"> guidance and training </w:t>
            </w:r>
            <w:r w:rsidRPr="00D51EE4">
              <w:rPr>
                <w:rFonts w:eastAsia="Times New Roman" w:cstheme="minorHAnsi"/>
                <w:color w:val="000000"/>
                <w:sz w:val="20"/>
                <w:szCs w:val="20"/>
                <w:lang w:val="en-GB"/>
              </w:rPr>
              <w:t>provided by one Cluster to support the other (recogni</w:t>
            </w:r>
            <w:r w:rsidR="00292524">
              <w:rPr>
                <w:rFonts w:eastAsia="Times New Roman" w:cstheme="minorHAnsi"/>
                <w:color w:val="000000"/>
                <w:sz w:val="20"/>
                <w:szCs w:val="20"/>
                <w:lang w:val="en-GB"/>
              </w:rPr>
              <w:t>s</w:t>
            </w:r>
            <w:r w:rsidRPr="00D51EE4">
              <w:rPr>
                <w:rFonts w:eastAsia="Times New Roman" w:cstheme="minorHAnsi"/>
                <w:color w:val="000000"/>
                <w:sz w:val="20"/>
                <w:szCs w:val="20"/>
                <w:lang w:val="en-GB"/>
              </w:rPr>
              <w:t>es the technical strengths of both sectors):</w:t>
            </w:r>
          </w:p>
          <w:p w:rsidRPr="00D51EE4" w:rsidR="009A66E3" w:rsidP="009A66E3" w:rsidRDefault="009A66E3" w14:paraId="66694BE3" w14:textId="1049DF54">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CP trains teachers on referral mechanisms</w:t>
            </w:r>
            <w:r w:rsidRPr="00D51EE4" w:rsidR="00DE3A4E">
              <w:rPr>
                <w:rFonts w:eastAsia="Times New Roman" w:cstheme="minorHAnsi"/>
                <w:color w:val="000000"/>
                <w:sz w:val="20"/>
                <w:szCs w:val="20"/>
                <w:lang w:val="en-GB"/>
              </w:rPr>
              <w:t xml:space="preserve"> </w:t>
            </w:r>
            <w:r w:rsidRPr="00D51EE4" w:rsidR="00DE3A4E">
              <w:rPr>
                <w:rFonts w:cstheme="minorHAnsi"/>
                <w:color w:val="000000"/>
                <w:sz w:val="20"/>
                <w:szCs w:val="20"/>
              </w:rPr>
              <w:t>(</w:t>
            </w:r>
            <w:r w:rsidRPr="00D51EE4" w:rsidR="00DE3A4E">
              <w:rPr>
                <w:rFonts w:eastAsia="Times New Roman" w:cstheme="minorHAnsi"/>
                <w:b/>
                <w:color w:val="000000"/>
                <w:sz w:val="20"/>
                <w:szCs w:val="20"/>
                <w:lang w:val="en-GB"/>
              </w:rPr>
              <w:t>South Sudan)</w:t>
            </w:r>
          </w:p>
          <w:p w:rsidRPr="00D51EE4" w:rsidR="009A66E3" w:rsidP="009A66E3" w:rsidRDefault="009A66E3" w14:paraId="70913A99" w14:textId="0B8A9344">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CP trains Education partners on PSS</w:t>
            </w:r>
            <w:r w:rsidRPr="00D51EE4" w:rsidR="00DE3A4E">
              <w:rPr>
                <w:rFonts w:eastAsia="Times New Roman" w:cstheme="minorHAnsi"/>
                <w:color w:val="000000"/>
                <w:sz w:val="20"/>
                <w:szCs w:val="20"/>
                <w:lang w:val="en-GB"/>
              </w:rPr>
              <w:t xml:space="preserve"> (</w:t>
            </w:r>
            <w:r w:rsidRPr="00D51EE4" w:rsidR="00DE3A4E">
              <w:rPr>
                <w:rFonts w:eastAsia="Times New Roman" w:cstheme="minorHAnsi"/>
                <w:b/>
                <w:color w:val="000000"/>
                <w:sz w:val="20"/>
                <w:szCs w:val="20"/>
                <w:lang w:val="en-GB"/>
              </w:rPr>
              <w:t>South Sudan)</w:t>
            </w:r>
          </w:p>
          <w:p w:rsidRPr="00D51EE4" w:rsidR="009A66E3" w:rsidP="009A66E3" w:rsidRDefault="009A66E3" w14:paraId="0E81F872" w14:textId="505E3D7B">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CP provide</w:t>
            </w:r>
            <w:r w:rsidRPr="00D51EE4" w:rsidR="00DE3A4E">
              <w:rPr>
                <w:rFonts w:eastAsia="Times New Roman" w:cstheme="minorHAnsi"/>
                <w:color w:val="000000"/>
                <w:sz w:val="20"/>
                <w:szCs w:val="20"/>
                <w:lang w:val="en-GB"/>
              </w:rPr>
              <w:t>s</w:t>
            </w:r>
            <w:r w:rsidRPr="00D51EE4">
              <w:rPr>
                <w:rFonts w:eastAsia="Times New Roman" w:cstheme="minorHAnsi"/>
                <w:color w:val="000000"/>
                <w:sz w:val="20"/>
                <w:szCs w:val="20"/>
                <w:lang w:val="en-GB"/>
              </w:rPr>
              <w:t xml:space="preserve"> training </w:t>
            </w:r>
            <w:r w:rsidRPr="00D51EE4">
              <w:rPr>
                <w:rFonts w:cstheme="minorHAnsi"/>
                <w:sz w:val="20"/>
                <w:szCs w:val="20"/>
                <w:lang w:val="en-GB"/>
              </w:rPr>
              <w:t>and</w:t>
            </w:r>
            <w:r w:rsidRPr="00D51EE4">
              <w:rPr>
                <w:rFonts w:eastAsia="Times New Roman" w:cstheme="minorHAnsi"/>
                <w:color w:val="000000"/>
                <w:sz w:val="20"/>
                <w:szCs w:val="20"/>
                <w:lang w:val="en-GB"/>
              </w:rPr>
              <w:t xml:space="preserve"> guidance on beneficiary level data protection</w:t>
            </w:r>
            <w:r w:rsidRPr="00D51EE4" w:rsidR="00DE3A4E">
              <w:rPr>
                <w:rFonts w:eastAsia="Times New Roman" w:cstheme="minorHAnsi"/>
                <w:color w:val="000000"/>
                <w:sz w:val="20"/>
                <w:szCs w:val="20"/>
                <w:lang w:val="en-GB"/>
              </w:rPr>
              <w:t xml:space="preserve"> (</w:t>
            </w:r>
            <w:r w:rsidRPr="00D51EE4" w:rsidR="00DE3A4E">
              <w:rPr>
                <w:rFonts w:eastAsia="Calibri" w:cstheme="minorHAnsi"/>
                <w:b/>
                <w:bCs/>
                <w:sz w:val="20"/>
                <w:szCs w:val="20"/>
                <w:lang w:val="en-GB"/>
              </w:rPr>
              <w:t>Cox’s Bazaar)</w:t>
            </w:r>
          </w:p>
          <w:p w:rsidRPr="00D51EE4" w:rsidR="009A66E3" w:rsidP="009A66E3" w:rsidRDefault="009A66E3" w14:paraId="2B24E071" w14:textId="2CEE0A53">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UNICEF MRM team provided 3 field level orientations to EiE Sector partners</w:t>
            </w:r>
            <w:r w:rsidRPr="00D51EE4" w:rsidR="00DE3A4E">
              <w:rPr>
                <w:rFonts w:eastAsia="Times New Roman" w:cstheme="minorHAnsi"/>
                <w:color w:val="000000"/>
                <w:sz w:val="20"/>
                <w:szCs w:val="20"/>
                <w:lang w:val="en-GB"/>
              </w:rPr>
              <w:t xml:space="preserve"> (</w:t>
            </w:r>
            <w:r w:rsidRPr="00D51EE4" w:rsidR="00DE3A4E">
              <w:rPr>
                <w:rFonts w:eastAsia="Times New Roman" w:cstheme="minorHAnsi"/>
                <w:b/>
                <w:color w:val="000000"/>
                <w:sz w:val="20"/>
                <w:szCs w:val="20"/>
                <w:lang w:val="en-GB"/>
              </w:rPr>
              <w:t>Myanmar)</w:t>
            </w:r>
          </w:p>
          <w:p w:rsidRPr="00D51EE4" w:rsidR="009A66E3" w:rsidP="009A66E3" w:rsidRDefault="009A66E3" w14:paraId="40C31D47" w14:textId="2AD05061">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 xml:space="preserve">CP cluster trained education cluster on MRM on tools and definitions, thereby education </w:t>
            </w:r>
            <w:r w:rsidRPr="00D51EE4">
              <w:rPr>
                <w:rFonts w:eastAsia="Times New Roman" w:cstheme="minorHAnsi"/>
                <w:color w:val="000000"/>
                <w:sz w:val="20"/>
                <w:szCs w:val="20"/>
                <w:lang w:val="en-GB"/>
              </w:rPr>
              <w:lastRenderedPageBreak/>
              <w:t>sector partners are sensiti</w:t>
            </w:r>
            <w:r w:rsidR="00292524">
              <w:rPr>
                <w:rFonts w:eastAsia="Times New Roman" w:cstheme="minorHAnsi"/>
                <w:color w:val="000000"/>
                <w:sz w:val="20"/>
                <w:szCs w:val="20"/>
                <w:lang w:val="en-GB"/>
              </w:rPr>
              <w:t>s</w:t>
            </w:r>
            <w:r w:rsidRPr="00D51EE4">
              <w:rPr>
                <w:rFonts w:eastAsia="Times New Roman" w:cstheme="minorHAnsi"/>
                <w:color w:val="000000"/>
                <w:sz w:val="20"/>
                <w:szCs w:val="20"/>
                <w:lang w:val="en-GB"/>
              </w:rPr>
              <w:t>ed and can support MRM reporting</w:t>
            </w:r>
            <w:r w:rsidRPr="00D51EE4" w:rsidR="00DE3A4E">
              <w:rPr>
                <w:rFonts w:eastAsia="Times New Roman" w:cstheme="minorHAnsi"/>
                <w:color w:val="000000"/>
                <w:sz w:val="20"/>
                <w:szCs w:val="20"/>
                <w:lang w:val="en-GB"/>
              </w:rPr>
              <w:t xml:space="preserve"> (</w:t>
            </w:r>
            <w:r w:rsidRPr="00D51EE4" w:rsidR="00DE3A4E">
              <w:rPr>
                <w:rFonts w:eastAsia="Times New Roman" w:cstheme="minorHAnsi"/>
                <w:b/>
                <w:color w:val="000000"/>
                <w:sz w:val="20"/>
                <w:szCs w:val="20"/>
                <w:lang w:val="en-GB"/>
              </w:rPr>
              <w:t>oPt)</w:t>
            </w:r>
          </w:p>
          <w:p w:rsidRPr="00D51EE4" w:rsidR="009A66E3" w:rsidP="009A66E3" w:rsidRDefault="009A66E3" w14:paraId="1846F88C" w14:textId="5ACFFD16">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 xml:space="preserve">PSS and MRE trainings/capacity building for teachers are generally provided by </w:t>
            </w:r>
            <w:proofErr w:type="spellStart"/>
            <w:r w:rsidRPr="00D51EE4">
              <w:rPr>
                <w:rFonts w:eastAsia="Times New Roman" w:cstheme="minorHAnsi"/>
                <w:color w:val="000000"/>
                <w:sz w:val="20"/>
                <w:szCs w:val="20"/>
                <w:lang w:val="en-GB"/>
              </w:rPr>
              <w:t>CPiE</w:t>
            </w:r>
            <w:proofErr w:type="spellEnd"/>
            <w:r w:rsidRPr="00D51EE4">
              <w:rPr>
                <w:rFonts w:eastAsia="Times New Roman" w:cstheme="minorHAnsi"/>
                <w:color w:val="000000"/>
                <w:sz w:val="20"/>
                <w:szCs w:val="20"/>
                <w:lang w:val="en-GB"/>
              </w:rPr>
              <w:t xml:space="preserve"> sector partners, in close collaboration with EiE sector partners</w:t>
            </w:r>
            <w:r w:rsidR="00D37E7A">
              <w:rPr>
                <w:rFonts w:eastAsia="Times New Roman" w:cstheme="minorHAnsi"/>
                <w:color w:val="000000"/>
                <w:sz w:val="20"/>
                <w:szCs w:val="20"/>
                <w:lang w:val="en-GB"/>
              </w:rPr>
              <w:t xml:space="preserve"> </w:t>
            </w:r>
            <w:r w:rsidRPr="00D51EE4" w:rsidR="00DE3A4E">
              <w:rPr>
                <w:rFonts w:eastAsia="Times New Roman" w:cstheme="minorHAnsi"/>
                <w:color w:val="000000"/>
                <w:sz w:val="20"/>
                <w:szCs w:val="20"/>
                <w:lang w:val="en-GB"/>
              </w:rPr>
              <w:t>(</w:t>
            </w:r>
            <w:r w:rsidRPr="00D51EE4" w:rsidR="00DE3A4E">
              <w:rPr>
                <w:rFonts w:eastAsia="Times New Roman" w:cstheme="minorHAnsi"/>
                <w:b/>
                <w:color w:val="000000"/>
                <w:sz w:val="20"/>
                <w:szCs w:val="20"/>
                <w:lang w:val="en-GB"/>
              </w:rPr>
              <w:t>Myanmar)</w:t>
            </w:r>
          </w:p>
          <w:p w:rsidRPr="00D51EE4" w:rsidR="009A66E3" w:rsidP="009A66E3" w:rsidRDefault="00DE3A4E" w14:paraId="75B9DED5" w14:textId="18E70AE5">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I</w:t>
            </w:r>
            <w:r w:rsidRPr="00D51EE4" w:rsidR="009A66E3">
              <w:rPr>
                <w:rFonts w:cstheme="minorHAnsi"/>
                <w:sz w:val="20"/>
                <w:szCs w:val="20"/>
                <w:lang w:val="en-GB"/>
              </w:rPr>
              <w:t xml:space="preserve">n response to the </w:t>
            </w:r>
            <w:r w:rsidRPr="00D51EE4" w:rsidR="009A66E3">
              <w:rPr>
                <w:rFonts w:eastAsia="Times New Roman" w:cstheme="minorHAnsi"/>
                <w:color w:val="000000"/>
                <w:sz w:val="20"/>
                <w:szCs w:val="20"/>
                <w:lang w:val="en-GB"/>
              </w:rPr>
              <w:t>issue</w:t>
            </w:r>
            <w:r w:rsidRPr="00D51EE4" w:rsidR="009A66E3">
              <w:rPr>
                <w:rFonts w:cstheme="minorHAnsi"/>
                <w:sz w:val="20"/>
                <w:szCs w:val="20"/>
                <w:lang w:val="en-GB"/>
              </w:rPr>
              <w:t xml:space="preserve"> of school-based GBV, the GBV and CP </w:t>
            </w:r>
            <w:proofErr w:type="spellStart"/>
            <w:r w:rsidRPr="00D51EE4" w:rsidR="009A66E3">
              <w:rPr>
                <w:rFonts w:cstheme="minorHAnsi"/>
                <w:sz w:val="20"/>
                <w:szCs w:val="20"/>
                <w:lang w:val="en-GB"/>
              </w:rPr>
              <w:t>AoRs</w:t>
            </w:r>
            <w:proofErr w:type="spellEnd"/>
            <w:r w:rsidRPr="00D51EE4" w:rsidR="009A66E3">
              <w:rPr>
                <w:rFonts w:cstheme="minorHAnsi"/>
                <w:sz w:val="20"/>
                <w:szCs w:val="20"/>
                <w:lang w:val="en-GB"/>
              </w:rPr>
              <w:t xml:space="preserve"> participated in Education cluster meetings and contextuali</w:t>
            </w:r>
            <w:r w:rsidR="00292524">
              <w:rPr>
                <w:rFonts w:cstheme="minorHAnsi"/>
                <w:sz w:val="20"/>
                <w:szCs w:val="20"/>
                <w:lang w:val="en-GB"/>
              </w:rPr>
              <w:t>s</w:t>
            </w:r>
            <w:r w:rsidRPr="00D51EE4" w:rsidR="009A66E3">
              <w:rPr>
                <w:rFonts w:cstheme="minorHAnsi"/>
                <w:sz w:val="20"/>
                <w:szCs w:val="20"/>
                <w:lang w:val="en-GB"/>
              </w:rPr>
              <w:t>ed guidance for schools</w:t>
            </w:r>
            <w:r w:rsidRPr="00D51EE4">
              <w:rPr>
                <w:rFonts w:cstheme="minorHAnsi"/>
                <w:sz w:val="20"/>
                <w:szCs w:val="20"/>
                <w:lang w:val="en-GB"/>
              </w:rPr>
              <w:t xml:space="preserve"> (</w:t>
            </w:r>
            <w:r w:rsidRPr="00D51EE4">
              <w:rPr>
                <w:rFonts w:eastAsia="Times New Roman" w:cstheme="minorHAnsi"/>
                <w:b/>
                <w:color w:val="000000"/>
                <w:sz w:val="20"/>
                <w:szCs w:val="20"/>
                <w:lang w:val="en-GB"/>
              </w:rPr>
              <w:t>Nigeria)</w:t>
            </w:r>
          </w:p>
          <w:p w:rsidRPr="00D51EE4" w:rsidR="009A66E3" w:rsidP="009A66E3" w:rsidRDefault="00DE3A4E" w14:paraId="76A6989F" w14:textId="78CAF69F">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J</w:t>
            </w:r>
            <w:r w:rsidRPr="00D51EE4" w:rsidR="009A66E3">
              <w:rPr>
                <w:rFonts w:cstheme="minorHAnsi"/>
                <w:sz w:val="20"/>
                <w:szCs w:val="20"/>
                <w:lang w:val="en-GB"/>
              </w:rPr>
              <w:t xml:space="preserve">ointly developed </w:t>
            </w:r>
            <w:r w:rsidRPr="00D51EE4" w:rsidR="009A66E3">
              <w:rPr>
                <w:rFonts w:eastAsia="Times New Roman" w:cstheme="minorHAnsi"/>
                <w:color w:val="000000"/>
                <w:sz w:val="20"/>
                <w:szCs w:val="20"/>
                <w:lang w:val="en-GB"/>
              </w:rPr>
              <w:t>messages</w:t>
            </w:r>
            <w:r w:rsidRPr="00D51EE4">
              <w:rPr>
                <w:rFonts w:eastAsia="Times New Roman" w:cstheme="minorHAnsi"/>
                <w:color w:val="000000"/>
                <w:sz w:val="20"/>
                <w:szCs w:val="20"/>
                <w:lang w:val="en-GB"/>
              </w:rPr>
              <w:t xml:space="preserve"> and</w:t>
            </w:r>
            <w:r w:rsidRPr="00D51EE4" w:rsidR="009A66E3">
              <w:rPr>
                <w:rFonts w:cstheme="minorHAnsi"/>
                <w:sz w:val="20"/>
                <w:szCs w:val="20"/>
                <w:lang w:val="en-GB"/>
              </w:rPr>
              <w:t xml:space="preserve"> teacher training</w:t>
            </w:r>
            <w:r w:rsidRPr="00D51EE4">
              <w:rPr>
                <w:rFonts w:cstheme="minorHAnsi"/>
                <w:sz w:val="20"/>
                <w:szCs w:val="20"/>
                <w:lang w:val="en-GB"/>
              </w:rPr>
              <w:t xml:space="preserve"> (</w:t>
            </w:r>
            <w:r w:rsidRPr="00D51EE4">
              <w:rPr>
                <w:rFonts w:eastAsia="Times New Roman" w:cstheme="minorHAnsi"/>
                <w:b/>
                <w:color w:val="000000"/>
                <w:sz w:val="20"/>
                <w:szCs w:val="20"/>
                <w:lang w:val="en-GB"/>
              </w:rPr>
              <w:t>Nigeria)</w:t>
            </w:r>
          </w:p>
          <w:p w:rsidRPr="00D51EE4" w:rsidR="004E08CB" w:rsidP="00A45980" w:rsidRDefault="004E08CB" w14:paraId="4DB4EC03" w14:textId="74049547">
            <w:pPr>
              <w:pStyle w:val="ListParagraph"/>
              <w:numPr>
                <w:ilvl w:val="0"/>
                <w:numId w:val="21"/>
              </w:numPr>
              <w:ind w:left="312" w:hanging="284"/>
              <w:rPr>
                <w:rFonts w:cstheme="minorHAnsi"/>
                <w:sz w:val="20"/>
                <w:szCs w:val="20"/>
                <w:lang w:val="en-GB"/>
              </w:rPr>
            </w:pPr>
            <w:r w:rsidRPr="00D51EE4">
              <w:rPr>
                <w:rFonts w:cstheme="minorHAnsi"/>
                <w:sz w:val="20"/>
                <w:szCs w:val="20"/>
                <w:lang w:val="en-GB"/>
              </w:rPr>
              <w:t xml:space="preserve">PSS curriculum for use in schools, adopted by </w:t>
            </w:r>
            <w:proofErr w:type="spellStart"/>
            <w:r w:rsidRPr="00D51EE4">
              <w:rPr>
                <w:rFonts w:cstheme="minorHAnsi"/>
                <w:sz w:val="20"/>
                <w:szCs w:val="20"/>
                <w:lang w:val="en-GB"/>
              </w:rPr>
              <w:t>MoE</w:t>
            </w:r>
            <w:proofErr w:type="spellEnd"/>
            <w:r w:rsidRPr="00D51EE4">
              <w:rPr>
                <w:rFonts w:cstheme="minorHAnsi"/>
                <w:sz w:val="20"/>
                <w:szCs w:val="20"/>
                <w:lang w:val="en-GB"/>
              </w:rPr>
              <w:t xml:space="preserve">.  CP led ToT of </w:t>
            </w:r>
            <w:proofErr w:type="spellStart"/>
            <w:r w:rsidRPr="00D51EE4">
              <w:rPr>
                <w:rFonts w:cstheme="minorHAnsi"/>
                <w:sz w:val="20"/>
                <w:szCs w:val="20"/>
                <w:lang w:val="en-GB"/>
              </w:rPr>
              <w:t>MoE</w:t>
            </w:r>
            <w:proofErr w:type="spellEnd"/>
            <w:r w:rsidRPr="00D51EE4">
              <w:rPr>
                <w:rFonts w:cstheme="minorHAnsi"/>
                <w:sz w:val="20"/>
                <w:szCs w:val="20"/>
                <w:lang w:val="en-GB"/>
              </w:rPr>
              <w:t xml:space="preserve"> officials on the approach of integrating PSS in classroom. The </w:t>
            </w:r>
            <w:proofErr w:type="spellStart"/>
            <w:r w:rsidRPr="00D51EE4">
              <w:rPr>
                <w:rFonts w:cstheme="minorHAnsi"/>
                <w:sz w:val="20"/>
                <w:szCs w:val="20"/>
                <w:lang w:val="en-GB"/>
              </w:rPr>
              <w:t>MoE</w:t>
            </w:r>
            <w:proofErr w:type="spellEnd"/>
            <w:r w:rsidRPr="00D51EE4">
              <w:rPr>
                <w:rFonts w:cstheme="minorHAnsi"/>
                <w:sz w:val="20"/>
                <w:szCs w:val="20"/>
                <w:lang w:val="en-GB"/>
              </w:rPr>
              <w:t xml:space="preserve"> then led a task team with education cluster support to develop a Mali specific PSS curriculum for primary schools</w:t>
            </w:r>
            <w:r w:rsidRPr="00D51EE4" w:rsidR="00DE3A4E">
              <w:rPr>
                <w:rFonts w:cstheme="minorHAnsi"/>
                <w:sz w:val="20"/>
                <w:szCs w:val="20"/>
                <w:lang w:val="en-GB"/>
              </w:rPr>
              <w:t xml:space="preserve"> (</w:t>
            </w:r>
            <w:r w:rsidRPr="00D51EE4" w:rsidR="00DE3A4E">
              <w:rPr>
                <w:rFonts w:cstheme="minorHAnsi"/>
                <w:b/>
                <w:sz w:val="20"/>
                <w:szCs w:val="20"/>
                <w:lang w:val="en-GB"/>
              </w:rPr>
              <w:t>Mali)</w:t>
            </w:r>
          </w:p>
          <w:p w:rsidRPr="00D51EE4" w:rsidR="00A54BD9" w:rsidP="00D51EE4" w:rsidRDefault="00A54BD9" w14:paraId="5124C3B2" w14:textId="77777777">
            <w:pPr>
              <w:rPr>
                <w:rFonts w:cstheme="minorHAnsi"/>
                <w:b/>
                <w:sz w:val="20"/>
                <w:szCs w:val="20"/>
                <w:lang w:val="en-GB"/>
              </w:rPr>
            </w:pPr>
          </w:p>
          <w:p w:rsidRPr="00D51EE4" w:rsidR="00A54BD9" w:rsidP="003A0DB7" w:rsidRDefault="00A54BD9" w14:paraId="5ADF2151" w14:textId="5B647F28">
            <w:pPr>
              <w:rPr>
                <w:rFonts w:cstheme="minorHAnsi"/>
                <w:bCs/>
                <w:sz w:val="20"/>
                <w:szCs w:val="20"/>
                <w:u w:val="single"/>
                <w:lang w:val="en-GB"/>
              </w:rPr>
            </w:pPr>
            <w:r w:rsidRPr="00D51EE4">
              <w:rPr>
                <w:rFonts w:cstheme="minorHAnsi"/>
                <w:bCs/>
                <w:sz w:val="20"/>
                <w:szCs w:val="20"/>
                <w:u w:val="single"/>
                <w:lang w:val="en-GB"/>
              </w:rPr>
              <w:t>Joint Accountability mechanisms</w:t>
            </w:r>
          </w:p>
          <w:p w:rsidRPr="00D51EE4" w:rsidR="00A54BD9" w:rsidP="00A54BD9" w:rsidRDefault="00A54BD9" w14:paraId="393CBCC1" w14:textId="4B55DB18">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Example</w:t>
            </w:r>
            <w:r w:rsidRPr="00D51EE4">
              <w:rPr>
                <w:rFonts w:eastAsia="Times New Roman" w:cstheme="minorHAnsi"/>
                <w:color w:val="000000"/>
                <w:sz w:val="20"/>
                <w:szCs w:val="20"/>
                <w:lang w:val="en-GB"/>
              </w:rPr>
              <w:t xml:space="preserve"> of AAP mechanism (</w:t>
            </w:r>
            <w:r w:rsidRPr="00D51EE4">
              <w:rPr>
                <w:rFonts w:eastAsia="Times New Roman" w:cstheme="minorHAnsi"/>
                <w:b/>
                <w:color w:val="000000"/>
                <w:sz w:val="20"/>
                <w:szCs w:val="20"/>
                <w:lang w:val="en-GB"/>
              </w:rPr>
              <w:t>Somalia, Mozambique)</w:t>
            </w:r>
          </w:p>
        </w:tc>
        <w:tc>
          <w:tcPr>
            <w:tcW w:w="1842" w:type="dxa"/>
            <w:tcMar/>
          </w:tcPr>
          <w:p w:rsidRPr="00D51EE4" w:rsidR="00C11925" w:rsidP="00C11925" w:rsidRDefault="00C11925" w14:paraId="6FEAF3E1" w14:textId="0C8C515E">
            <w:pPr>
              <w:spacing w:before="40" w:after="40"/>
              <w:rPr>
                <w:rFonts w:cstheme="minorHAnsi"/>
                <w:bCs/>
                <w:sz w:val="20"/>
                <w:szCs w:val="20"/>
                <w:lang w:val="en-GB"/>
              </w:rPr>
            </w:pPr>
            <w:r w:rsidRPr="00D51EE4">
              <w:rPr>
                <w:rFonts w:cstheme="minorHAnsi"/>
                <w:bCs/>
                <w:sz w:val="20"/>
                <w:szCs w:val="20"/>
                <w:lang w:val="en-GB"/>
              </w:rPr>
              <w:lastRenderedPageBreak/>
              <w:t xml:space="preserve">Partners need to know which sector they are/need to be a member of for which activity. </w:t>
            </w:r>
          </w:p>
          <w:p w:rsidRPr="00D51EE4" w:rsidR="00C11925" w:rsidP="00C11925" w:rsidRDefault="00C11925" w14:paraId="7E1A3772" w14:textId="77777777">
            <w:pPr>
              <w:spacing w:before="40" w:after="40"/>
              <w:rPr>
                <w:rFonts w:cstheme="minorHAnsi"/>
                <w:bCs/>
                <w:sz w:val="20"/>
                <w:szCs w:val="20"/>
                <w:lang w:val="en-GB"/>
              </w:rPr>
            </w:pPr>
          </w:p>
          <w:p w:rsidRPr="00D51EE4" w:rsidR="00C11925" w:rsidP="00C11925" w:rsidRDefault="00C11925" w14:paraId="46B5C936" w14:textId="4ECE0860">
            <w:pPr>
              <w:spacing w:before="40" w:after="40"/>
              <w:rPr>
                <w:rFonts w:cstheme="minorHAnsi"/>
                <w:bCs/>
                <w:sz w:val="20"/>
                <w:szCs w:val="20"/>
                <w:lang w:val="en-GB"/>
              </w:rPr>
            </w:pPr>
            <w:r w:rsidRPr="00D51EE4">
              <w:rPr>
                <w:rFonts w:cstheme="minorHAnsi"/>
                <w:bCs/>
                <w:sz w:val="20"/>
                <w:szCs w:val="20"/>
                <w:u w:val="single"/>
                <w:lang w:val="en-GB"/>
              </w:rPr>
              <w:t>Communicate to implementing partners which sector is responsible for delivering which activities</w:t>
            </w:r>
            <w:r w:rsidRPr="00D51EE4">
              <w:rPr>
                <w:rFonts w:cstheme="minorHAnsi"/>
                <w:bCs/>
                <w:sz w:val="20"/>
                <w:szCs w:val="20"/>
                <w:lang w:val="en-GB"/>
              </w:rPr>
              <w:t xml:space="preserve"> (&amp; therefore if partners need to join the other sector for coordination of certain activities)</w:t>
            </w:r>
          </w:p>
          <w:p w:rsidRPr="00D51EE4" w:rsidR="00C11925" w:rsidP="00C11925" w:rsidRDefault="00C11925" w14:paraId="51241D5F" w14:textId="77777777">
            <w:pPr>
              <w:spacing w:before="40" w:after="40"/>
              <w:rPr>
                <w:rFonts w:cstheme="minorHAnsi"/>
                <w:bCs/>
                <w:sz w:val="20"/>
                <w:szCs w:val="20"/>
                <w:lang w:val="en-GB"/>
              </w:rPr>
            </w:pPr>
          </w:p>
          <w:p w:rsidRPr="00D51EE4" w:rsidR="00C11925" w:rsidP="00C11925" w:rsidRDefault="00C11925" w14:paraId="762C5F36" w14:textId="4E24D836">
            <w:pPr>
              <w:spacing w:before="40" w:after="40"/>
              <w:rPr>
                <w:rFonts w:cstheme="minorHAnsi"/>
                <w:bCs/>
                <w:i/>
                <w:iCs/>
                <w:sz w:val="20"/>
                <w:szCs w:val="20"/>
                <w:lang w:val="en-GB"/>
              </w:rPr>
            </w:pPr>
            <w:r w:rsidRPr="00D51EE4">
              <w:rPr>
                <w:rFonts w:cstheme="minorHAnsi"/>
                <w:bCs/>
                <w:i/>
                <w:iCs/>
                <w:sz w:val="20"/>
                <w:szCs w:val="20"/>
                <w:lang w:val="en-GB"/>
              </w:rPr>
              <w:t xml:space="preserve">e.g. if a partner implements community-based PSS or </w:t>
            </w:r>
            <w:r w:rsidRPr="00D51EE4" w:rsidR="000F4B67">
              <w:rPr>
                <w:rFonts w:cstheme="minorHAnsi"/>
                <w:bCs/>
                <w:i/>
                <w:iCs/>
                <w:sz w:val="20"/>
                <w:szCs w:val="20"/>
                <w:lang w:val="en-GB"/>
              </w:rPr>
              <w:t>M</w:t>
            </w:r>
            <w:r w:rsidRPr="00D51EE4">
              <w:rPr>
                <w:rFonts w:cstheme="minorHAnsi"/>
                <w:bCs/>
                <w:i/>
                <w:iCs/>
                <w:sz w:val="20"/>
                <w:szCs w:val="20"/>
                <w:lang w:val="en-GB"/>
              </w:rPr>
              <w:t xml:space="preserve">RE (coordinated under CP) &amp; PSS or </w:t>
            </w:r>
            <w:r w:rsidRPr="00D51EE4" w:rsidR="000F4B67">
              <w:rPr>
                <w:rFonts w:cstheme="minorHAnsi"/>
                <w:bCs/>
                <w:i/>
                <w:iCs/>
                <w:sz w:val="20"/>
                <w:szCs w:val="20"/>
                <w:lang w:val="en-GB"/>
              </w:rPr>
              <w:t>M</w:t>
            </w:r>
            <w:r w:rsidRPr="00D51EE4">
              <w:rPr>
                <w:rFonts w:cstheme="minorHAnsi"/>
                <w:bCs/>
                <w:i/>
                <w:iCs/>
                <w:sz w:val="20"/>
                <w:szCs w:val="20"/>
                <w:lang w:val="en-GB"/>
              </w:rPr>
              <w:t xml:space="preserve">RE  in schools (coordinated under </w:t>
            </w:r>
            <w:r w:rsidRPr="00D51EE4">
              <w:rPr>
                <w:rFonts w:cstheme="minorHAnsi"/>
                <w:bCs/>
                <w:i/>
                <w:iCs/>
                <w:sz w:val="20"/>
                <w:szCs w:val="20"/>
                <w:lang w:val="en-GB"/>
              </w:rPr>
              <w:lastRenderedPageBreak/>
              <w:t>Education), this partner needs to coordinate with &amp; report to one sector for one activity, and the other sector for the other activity.</w:t>
            </w:r>
          </w:p>
          <w:p w:rsidRPr="00D51EE4" w:rsidR="009A66E3" w:rsidP="00C11925" w:rsidRDefault="009A66E3" w14:paraId="32AB6B0B" w14:textId="239B0144">
            <w:pPr>
              <w:spacing w:before="40" w:after="40"/>
              <w:rPr>
                <w:rFonts w:cstheme="minorHAnsi"/>
                <w:b/>
                <w:sz w:val="20"/>
                <w:szCs w:val="20"/>
                <w:lang w:val="en-GB"/>
              </w:rPr>
            </w:pPr>
          </w:p>
        </w:tc>
        <w:tc>
          <w:tcPr>
            <w:tcW w:w="5245" w:type="dxa"/>
            <w:tcMar/>
          </w:tcPr>
          <w:p w:rsidRPr="00D51EE4" w:rsidR="009A66E3" w:rsidP="009A66E3" w:rsidRDefault="009A66E3" w14:paraId="57F88707" w14:textId="612F3DA3">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lastRenderedPageBreak/>
              <w:t xml:space="preserve">Clarity in HRP </w:t>
            </w:r>
            <w:proofErr w:type="spellStart"/>
            <w:r w:rsidRPr="00D51EE4">
              <w:rPr>
                <w:rFonts w:eastAsia="Times New Roman" w:cstheme="minorHAnsi"/>
                <w:color w:val="000000"/>
                <w:sz w:val="20"/>
                <w:szCs w:val="20"/>
                <w:lang w:val="en-GB"/>
              </w:rPr>
              <w:t>logframe</w:t>
            </w:r>
            <w:proofErr w:type="spellEnd"/>
            <w:r w:rsidRPr="00D51EE4">
              <w:rPr>
                <w:rFonts w:eastAsia="Times New Roman" w:cstheme="minorHAnsi"/>
                <w:color w:val="000000"/>
                <w:sz w:val="20"/>
                <w:szCs w:val="20"/>
                <w:lang w:val="en-GB"/>
              </w:rPr>
              <w:t xml:space="preserve"> / 4Ws instructions on how to report, e.g. </w:t>
            </w:r>
          </w:p>
          <w:p w:rsidRPr="00D51EE4" w:rsidR="009A66E3" w:rsidP="009A66E3" w:rsidRDefault="009A66E3" w14:paraId="7460F427" w14:textId="77777777">
            <w:pPr>
              <w:pStyle w:val="ListParagraph"/>
              <w:numPr>
                <w:ilvl w:val="1"/>
                <w:numId w:val="21"/>
              </w:numPr>
              <w:spacing w:before="80" w:after="80"/>
              <w:ind w:left="822"/>
              <w:rPr>
                <w:rFonts w:cstheme="minorHAnsi"/>
                <w:sz w:val="20"/>
                <w:szCs w:val="20"/>
                <w:lang w:val="en-GB"/>
              </w:rPr>
            </w:pPr>
            <w:r w:rsidRPr="00D51EE4">
              <w:rPr>
                <w:rFonts w:eastAsia="Times New Roman" w:cstheme="minorHAnsi"/>
                <w:color w:val="000000"/>
                <w:sz w:val="20"/>
                <w:szCs w:val="20"/>
                <w:lang w:val="en-GB"/>
              </w:rPr>
              <w:t xml:space="preserve">a CP indicator that is </w:t>
            </w:r>
            <w:r w:rsidRPr="00D51EE4">
              <w:rPr>
                <w:rFonts w:cstheme="minorHAnsi"/>
                <w:sz w:val="20"/>
                <w:szCs w:val="20"/>
                <w:lang w:val="en-GB"/>
              </w:rPr>
              <w:t>monitored by Education (specified in HRP): “number of teachers trained on PSS”. Education partners liaise with CP to arrange the trainings and are responsible to report the teachers trained in their schools (</w:t>
            </w:r>
            <w:r w:rsidRPr="00D51EE4">
              <w:rPr>
                <w:rFonts w:cstheme="minorHAnsi"/>
                <w:b/>
                <w:sz w:val="20"/>
                <w:szCs w:val="20"/>
                <w:lang w:val="en-GB"/>
              </w:rPr>
              <w:t>South Sudan)</w:t>
            </w:r>
            <w:r w:rsidRPr="00D51EE4">
              <w:rPr>
                <w:rFonts w:cstheme="minorHAnsi"/>
                <w:sz w:val="20"/>
                <w:szCs w:val="20"/>
                <w:lang w:val="en-GB"/>
              </w:rPr>
              <w:t xml:space="preserve"> </w:t>
            </w:r>
          </w:p>
          <w:p w:rsidRPr="00D51EE4" w:rsidR="009A66E3" w:rsidP="009A66E3" w:rsidRDefault="009A66E3" w14:paraId="4683697D" w14:textId="5E7178AE">
            <w:pPr>
              <w:pStyle w:val="ListParagraph"/>
              <w:numPr>
                <w:ilvl w:val="1"/>
                <w:numId w:val="21"/>
              </w:numPr>
              <w:spacing w:before="80" w:after="80"/>
              <w:ind w:left="822"/>
              <w:rPr>
                <w:rFonts w:cstheme="minorHAnsi"/>
                <w:sz w:val="20"/>
                <w:szCs w:val="20"/>
                <w:lang w:val="en-GB"/>
              </w:rPr>
            </w:pPr>
            <w:r w:rsidRPr="00D51EE4">
              <w:rPr>
                <w:rFonts w:cstheme="minorHAnsi"/>
                <w:sz w:val="20"/>
                <w:szCs w:val="20"/>
                <w:lang w:val="en-GB"/>
              </w:rPr>
              <w:t>Any school</w:t>
            </w:r>
            <w:r w:rsidR="00D51EE4">
              <w:rPr>
                <w:rFonts w:cstheme="minorHAnsi"/>
                <w:sz w:val="20"/>
                <w:szCs w:val="20"/>
                <w:lang w:val="en-GB"/>
              </w:rPr>
              <w:t>-</w:t>
            </w:r>
            <w:r w:rsidRPr="00D51EE4">
              <w:rPr>
                <w:rFonts w:cstheme="minorHAnsi"/>
                <w:sz w:val="20"/>
                <w:szCs w:val="20"/>
                <w:lang w:val="en-GB"/>
              </w:rPr>
              <w:t>based interventions should be coordinated through and reported to education cluster, as stipulated in the HRP (</w:t>
            </w:r>
            <w:r w:rsidRPr="00D51EE4">
              <w:rPr>
                <w:rFonts w:cstheme="minorHAnsi"/>
                <w:b/>
                <w:sz w:val="20"/>
                <w:szCs w:val="20"/>
                <w:lang w:val="en-GB"/>
              </w:rPr>
              <w:t xml:space="preserve">oPt – </w:t>
            </w:r>
            <w:r w:rsidRPr="00D51EE4">
              <w:rPr>
                <w:rFonts w:cstheme="minorHAnsi"/>
                <w:sz w:val="20"/>
                <w:szCs w:val="20"/>
                <w:lang w:val="en-GB"/>
              </w:rPr>
              <w:t>SOP for school-based interventions)</w:t>
            </w:r>
          </w:p>
          <w:p w:rsidRPr="00D51EE4" w:rsidR="009A66E3" w:rsidP="009A66E3" w:rsidRDefault="009A66E3" w14:paraId="37CEE59D" w14:textId="30ABF2C9">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Joint Monitoring and Evaluation plan (</w:t>
            </w:r>
            <w:r w:rsidRPr="00D51EE4">
              <w:rPr>
                <w:rFonts w:eastAsia="Times New Roman" w:cstheme="minorHAnsi"/>
                <w:b/>
                <w:color w:val="000000"/>
                <w:sz w:val="20"/>
                <w:szCs w:val="20"/>
                <w:lang w:val="en-GB"/>
              </w:rPr>
              <w:t xml:space="preserve">DRC – </w:t>
            </w:r>
            <w:proofErr w:type="spellStart"/>
            <w:r w:rsidRPr="00D51EE4">
              <w:rPr>
                <w:rFonts w:eastAsia="Times New Roman" w:cstheme="minorHAnsi"/>
                <w:color w:val="000000"/>
                <w:sz w:val="20"/>
                <w:szCs w:val="20"/>
                <w:lang w:val="en-GB"/>
              </w:rPr>
              <w:t>Kasaï</w:t>
            </w:r>
            <w:proofErr w:type="spellEnd"/>
            <w:r w:rsidRPr="00D51EE4">
              <w:rPr>
                <w:rFonts w:eastAsia="Times New Roman" w:cstheme="minorHAnsi"/>
                <w:color w:val="000000"/>
                <w:sz w:val="20"/>
                <w:szCs w:val="20"/>
                <w:lang w:val="en-GB"/>
              </w:rPr>
              <w:t>)</w:t>
            </w:r>
          </w:p>
          <w:p w:rsidRPr="00D51EE4" w:rsidR="009A66E3" w:rsidP="009A66E3" w:rsidRDefault="009A66E3" w14:paraId="25A6F0D8" w14:textId="77777777">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u w:val="single"/>
                <w:lang w:val="en-GB"/>
              </w:rPr>
              <w:t>Joint monitoring visits</w:t>
            </w:r>
            <w:r w:rsidRPr="00D51EE4">
              <w:rPr>
                <w:rFonts w:eastAsia="Times New Roman" w:cstheme="minorHAnsi"/>
                <w:color w:val="000000"/>
                <w:sz w:val="20"/>
                <w:szCs w:val="20"/>
                <w:lang w:val="en-GB"/>
              </w:rPr>
              <w:t xml:space="preserve"> with partners, beneficiaries (and potentially line ministries) (</w:t>
            </w:r>
            <w:r w:rsidRPr="00D51EE4">
              <w:rPr>
                <w:rFonts w:eastAsia="Times New Roman" w:cstheme="minorHAnsi"/>
                <w:b/>
                <w:color w:val="000000"/>
                <w:sz w:val="20"/>
                <w:szCs w:val="20"/>
                <w:lang w:val="en-GB"/>
              </w:rPr>
              <w:t xml:space="preserve">oPt - </w:t>
            </w:r>
            <w:r w:rsidRPr="00D37E7A">
              <w:rPr>
                <w:rFonts w:cstheme="minorHAnsi"/>
                <w:bCs/>
                <w:sz w:val="20"/>
                <w:szCs w:val="20"/>
                <w:lang w:val="en-GB"/>
              </w:rPr>
              <w:t>H2</w:t>
            </w:r>
            <w:r w:rsidRPr="00D51EE4">
              <w:rPr>
                <w:rFonts w:cstheme="minorHAnsi"/>
                <w:sz w:val="20"/>
                <w:szCs w:val="20"/>
                <w:lang w:val="en-GB"/>
              </w:rPr>
              <w:t xml:space="preserve"> </w:t>
            </w:r>
            <w:r w:rsidRPr="00D37E7A">
              <w:rPr>
                <w:rFonts w:cstheme="minorHAnsi"/>
                <w:bCs/>
                <w:sz w:val="20"/>
                <w:szCs w:val="20"/>
                <w:lang w:val="en-GB"/>
              </w:rPr>
              <w:t>area</w:t>
            </w:r>
            <w:r w:rsidRPr="00D51EE4">
              <w:rPr>
                <w:rFonts w:cstheme="minorHAnsi"/>
                <w:sz w:val="20"/>
                <w:szCs w:val="20"/>
                <w:lang w:val="en-GB"/>
              </w:rPr>
              <w:t>)</w:t>
            </w:r>
          </w:p>
          <w:p w:rsidRPr="00D51EE4" w:rsidR="009A66E3" w:rsidP="009A66E3" w:rsidRDefault="009A66E3" w14:paraId="1E919E21" w14:textId="1BF3C7C4">
            <w:pPr>
              <w:spacing w:before="40"/>
              <w:rPr>
                <w:rFonts w:cstheme="minorHAnsi"/>
                <w:sz w:val="20"/>
                <w:szCs w:val="20"/>
                <w:lang w:val="en-GB"/>
              </w:rPr>
            </w:pPr>
          </w:p>
          <w:p w:rsidRPr="00D51EE4" w:rsidR="009A66E3" w:rsidP="00D51EE4" w:rsidRDefault="009A66E3" w14:paraId="5DAD3F5C" w14:textId="77777777">
            <w:pPr>
              <w:rPr>
                <w:rFonts w:cstheme="minorHAnsi"/>
                <w:sz w:val="20"/>
                <w:szCs w:val="20"/>
                <w:u w:val="single"/>
                <w:lang w:val="en-GB"/>
              </w:rPr>
            </w:pPr>
            <w:r w:rsidRPr="00D51EE4">
              <w:rPr>
                <w:rFonts w:eastAsia="Times New Roman" w:cstheme="minorHAnsi"/>
                <w:color w:val="000000"/>
                <w:sz w:val="20"/>
                <w:szCs w:val="20"/>
                <w:lang w:val="en-GB"/>
              </w:rPr>
              <w:t>Reporting</w:t>
            </w:r>
            <w:r w:rsidRPr="00D51EE4">
              <w:rPr>
                <w:rFonts w:cstheme="minorHAnsi"/>
                <w:sz w:val="20"/>
                <w:szCs w:val="20"/>
                <w:u w:val="single"/>
                <w:lang w:val="en-GB"/>
              </w:rPr>
              <w:t xml:space="preserve"> guidance</w:t>
            </w:r>
            <w:r w:rsidRPr="00D51EE4">
              <w:rPr>
                <w:rFonts w:eastAsia="Times New Roman" w:cstheme="minorHAnsi"/>
                <w:color w:val="000000"/>
                <w:sz w:val="20"/>
                <w:szCs w:val="20"/>
                <w:lang w:val="en-GB"/>
              </w:rPr>
              <w:t xml:space="preserve"> for inter/cross-sectoral indicators to clarify to which sector implementing partners should report, to ensure accurate reporting and reduce double counting</w:t>
            </w:r>
          </w:p>
          <w:p w:rsidRPr="00D51EE4" w:rsidR="009A66E3" w:rsidP="009A66E3" w:rsidRDefault="009A66E3" w14:paraId="5E76F9E3" w14:textId="77777777">
            <w:pPr>
              <w:pStyle w:val="ListParagraph"/>
              <w:numPr>
                <w:ilvl w:val="0"/>
                <w:numId w:val="21"/>
              </w:numPr>
              <w:spacing w:before="40"/>
              <w:ind w:left="312" w:hanging="284"/>
              <w:rPr>
                <w:rFonts w:cstheme="minorHAnsi"/>
                <w:sz w:val="20"/>
                <w:szCs w:val="20"/>
                <w:lang w:val="en-GB"/>
              </w:rPr>
            </w:pPr>
            <w:r w:rsidRPr="00D51EE4">
              <w:rPr>
                <w:rFonts w:eastAsia="Times New Roman" w:cstheme="minorHAnsi"/>
                <w:color w:val="000000"/>
                <w:sz w:val="20"/>
                <w:szCs w:val="20"/>
                <w:lang w:val="en-GB"/>
              </w:rPr>
              <w:t>Which sector to report to, e.g. :</w:t>
            </w:r>
          </w:p>
          <w:p w:rsidRPr="00D51EE4" w:rsidR="009A66E3" w:rsidP="009A66E3" w:rsidRDefault="009A66E3" w14:paraId="155D5841" w14:textId="77777777">
            <w:pPr>
              <w:pStyle w:val="ListParagraph"/>
              <w:numPr>
                <w:ilvl w:val="1"/>
                <w:numId w:val="21"/>
              </w:numPr>
              <w:spacing w:before="80" w:after="80"/>
              <w:ind w:left="822"/>
              <w:rPr>
                <w:rFonts w:cstheme="minorHAnsi"/>
                <w:b/>
                <w:sz w:val="20"/>
                <w:szCs w:val="20"/>
                <w:lang w:val="en-GB"/>
              </w:rPr>
            </w:pPr>
            <w:r w:rsidRPr="00D51EE4">
              <w:rPr>
                <w:rFonts w:cstheme="minorHAnsi"/>
                <w:b/>
                <w:bCs/>
                <w:sz w:val="20"/>
                <w:szCs w:val="20"/>
                <w:lang w:val="en-GB"/>
              </w:rPr>
              <w:t>By</w:t>
            </w:r>
            <w:r w:rsidRPr="00D51EE4">
              <w:rPr>
                <w:rFonts w:eastAsia="Times New Roman" w:cstheme="minorHAnsi"/>
                <w:b/>
                <w:color w:val="000000"/>
                <w:sz w:val="20"/>
                <w:szCs w:val="20"/>
                <w:lang w:val="en-GB"/>
              </w:rPr>
              <w:t xml:space="preserve"> activity</w:t>
            </w:r>
          </w:p>
          <w:p w:rsidRPr="00D51EE4" w:rsidR="009A66E3" w:rsidP="009A66E3" w:rsidRDefault="009A66E3" w14:paraId="390F6079" w14:textId="12ED86A3">
            <w:pPr>
              <w:pStyle w:val="ListParagraph"/>
              <w:numPr>
                <w:ilvl w:val="1"/>
                <w:numId w:val="21"/>
              </w:numPr>
              <w:spacing w:before="80" w:after="80"/>
              <w:ind w:left="822"/>
              <w:rPr>
                <w:rFonts w:cstheme="minorHAnsi"/>
                <w:b/>
                <w:sz w:val="20"/>
                <w:szCs w:val="20"/>
                <w:lang w:val="en-GB"/>
              </w:rPr>
            </w:pPr>
            <w:r w:rsidRPr="00D51EE4">
              <w:rPr>
                <w:rFonts w:eastAsia="Times New Roman" w:cstheme="minorHAnsi"/>
                <w:b/>
                <w:color w:val="000000"/>
                <w:sz w:val="20"/>
                <w:szCs w:val="20"/>
                <w:lang w:val="en-GB"/>
              </w:rPr>
              <w:t xml:space="preserve">By age </w:t>
            </w:r>
            <w:r w:rsidRPr="00D51EE4">
              <w:rPr>
                <w:rFonts w:eastAsia="Times New Roman" w:cstheme="minorHAnsi"/>
                <w:color w:val="000000"/>
                <w:sz w:val="20"/>
                <w:szCs w:val="20"/>
                <w:lang w:val="en-GB"/>
              </w:rPr>
              <w:t>(e.g.15-18 y</w:t>
            </w:r>
            <w:r w:rsidR="003A0DB7">
              <w:rPr>
                <w:rFonts w:eastAsia="Times New Roman" w:cstheme="minorHAnsi"/>
                <w:color w:val="000000"/>
                <w:sz w:val="20"/>
                <w:szCs w:val="20"/>
                <w:lang w:val="en-GB"/>
              </w:rPr>
              <w:t>ears</w:t>
            </w:r>
            <w:r w:rsidRPr="00D51EE4">
              <w:rPr>
                <w:rFonts w:eastAsia="Times New Roman" w:cstheme="minorHAnsi"/>
                <w:color w:val="000000"/>
                <w:sz w:val="20"/>
                <w:szCs w:val="20"/>
                <w:lang w:val="en-GB"/>
              </w:rPr>
              <w:t xml:space="preserve"> to CP, 3-14 y</w:t>
            </w:r>
            <w:r w:rsidR="003A0DB7">
              <w:rPr>
                <w:rFonts w:eastAsia="Times New Roman" w:cstheme="minorHAnsi"/>
                <w:color w:val="000000"/>
                <w:sz w:val="20"/>
                <w:szCs w:val="20"/>
                <w:lang w:val="en-GB"/>
              </w:rPr>
              <w:t>ears</w:t>
            </w:r>
            <w:r w:rsidRPr="00D51EE4">
              <w:rPr>
                <w:rFonts w:eastAsia="Times New Roman" w:cstheme="minorHAnsi"/>
                <w:color w:val="000000"/>
                <w:sz w:val="20"/>
                <w:szCs w:val="20"/>
                <w:lang w:val="en-GB"/>
              </w:rPr>
              <w:t xml:space="preserve"> to education for MHPSS activities in multi-purpose space – </w:t>
            </w:r>
            <w:r w:rsidRPr="00D51EE4" w:rsidR="003A0DB7">
              <w:rPr>
                <w:rFonts w:eastAsia="Calibri" w:cstheme="minorHAnsi"/>
                <w:b/>
                <w:bCs/>
                <w:sz w:val="20"/>
                <w:szCs w:val="20"/>
                <w:lang w:val="en-GB"/>
              </w:rPr>
              <w:t>Cox’s Bazaar</w:t>
            </w:r>
            <w:r w:rsidRPr="00D51EE4">
              <w:rPr>
                <w:rFonts w:eastAsia="Times New Roman" w:cstheme="minorHAnsi"/>
                <w:color w:val="000000"/>
                <w:sz w:val="20"/>
                <w:szCs w:val="20"/>
                <w:lang w:val="en-GB"/>
              </w:rPr>
              <w:t>)</w:t>
            </w:r>
          </w:p>
          <w:p w:rsidRPr="00D51EE4" w:rsidR="009A66E3" w:rsidP="009A66E3" w:rsidRDefault="009A66E3" w14:paraId="1DF4D7E7" w14:textId="77777777">
            <w:pPr>
              <w:pStyle w:val="ListParagraph"/>
              <w:numPr>
                <w:ilvl w:val="1"/>
                <w:numId w:val="21"/>
              </w:numPr>
              <w:spacing w:before="80" w:after="80"/>
              <w:ind w:left="822"/>
              <w:rPr>
                <w:rFonts w:cstheme="minorHAnsi"/>
                <w:sz w:val="20"/>
                <w:szCs w:val="20"/>
                <w:lang w:val="en-GB"/>
              </w:rPr>
            </w:pPr>
            <w:r w:rsidRPr="00D51EE4">
              <w:rPr>
                <w:rFonts w:eastAsia="Times New Roman" w:cstheme="minorHAnsi"/>
                <w:b/>
                <w:color w:val="000000"/>
                <w:sz w:val="20"/>
                <w:szCs w:val="20"/>
                <w:lang w:val="en-GB"/>
              </w:rPr>
              <w:t>By location</w:t>
            </w:r>
            <w:r w:rsidRPr="00D51EE4">
              <w:rPr>
                <w:rFonts w:eastAsia="Times New Roman" w:cstheme="minorHAnsi"/>
                <w:color w:val="000000"/>
                <w:sz w:val="20"/>
                <w:szCs w:val="20"/>
                <w:lang w:val="en-GB"/>
              </w:rPr>
              <w:t>:</w:t>
            </w:r>
          </w:p>
          <w:p w:rsidRPr="00D51EE4" w:rsidR="009A66E3" w:rsidP="009A66E3" w:rsidRDefault="009A66E3" w14:paraId="550B7981" w14:textId="77777777">
            <w:pPr>
              <w:pStyle w:val="ListParagraph"/>
              <w:spacing w:before="80" w:after="80"/>
              <w:ind w:left="1105"/>
              <w:rPr>
                <w:rFonts w:eastAsia="Times New Roman" w:cstheme="minorHAnsi"/>
                <w:b/>
                <w:color w:val="000000"/>
                <w:sz w:val="20"/>
                <w:szCs w:val="20"/>
                <w:lang w:val="en-GB"/>
              </w:rPr>
            </w:pPr>
            <w:r w:rsidRPr="00D51EE4">
              <w:rPr>
                <w:rFonts w:eastAsia="Times New Roman" w:cstheme="minorHAnsi"/>
                <w:color w:val="000000"/>
                <w:sz w:val="20"/>
                <w:szCs w:val="20"/>
                <w:lang w:val="en-GB"/>
              </w:rPr>
              <w:t>- School based (to education) versus community based (to CP) (</w:t>
            </w:r>
            <w:r w:rsidRPr="00D51EE4">
              <w:rPr>
                <w:rFonts w:eastAsia="Times New Roman" w:cstheme="minorHAnsi"/>
                <w:b/>
                <w:color w:val="000000"/>
                <w:sz w:val="20"/>
                <w:szCs w:val="20"/>
                <w:lang w:val="en-GB"/>
              </w:rPr>
              <w:t>Iraq)</w:t>
            </w:r>
          </w:p>
          <w:p w:rsidRPr="00D51EE4" w:rsidR="009A66E3" w:rsidP="009A66E3" w:rsidRDefault="009A66E3" w14:paraId="344139BB" w14:textId="647A6685">
            <w:pPr>
              <w:pStyle w:val="ListParagraph"/>
              <w:spacing w:before="80" w:after="80"/>
              <w:ind w:left="1105"/>
              <w:rPr>
                <w:rFonts w:eastAsia="Times New Roman" w:cstheme="minorHAnsi"/>
                <w:color w:val="000000"/>
                <w:sz w:val="20"/>
                <w:szCs w:val="20"/>
                <w:lang w:val="en-GB"/>
              </w:rPr>
            </w:pPr>
            <w:r w:rsidRPr="00D51EE4">
              <w:rPr>
                <w:rFonts w:eastAsia="Times New Roman" w:cstheme="minorHAnsi"/>
                <w:color w:val="000000"/>
                <w:sz w:val="20"/>
                <w:szCs w:val="20"/>
                <w:lang w:val="en-GB"/>
              </w:rPr>
              <w:lastRenderedPageBreak/>
              <w:t xml:space="preserve">- Multi-purpose space guidance </w:t>
            </w:r>
            <w:proofErr w:type="gramStart"/>
            <w:r w:rsidRPr="00D51EE4">
              <w:rPr>
                <w:rFonts w:eastAsia="Times New Roman" w:cstheme="minorHAnsi"/>
                <w:color w:val="000000"/>
                <w:sz w:val="20"/>
                <w:szCs w:val="20"/>
                <w:lang w:val="en-GB"/>
              </w:rPr>
              <w:t>note</w:t>
            </w:r>
            <w:proofErr w:type="gramEnd"/>
            <w:r w:rsidRPr="00D51EE4">
              <w:rPr>
                <w:rFonts w:eastAsia="Times New Roman" w:cstheme="minorHAnsi"/>
                <w:color w:val="000000"/>
                <w:sz w:val="20"/>
                <w:szCs w:val="20"/>
                <w:lang w:val="en-GB"/>
              </w:rPr>
              <w:t xml:space="preserve"> and follow up conversations with key inter-sector partners to clarify reporting lines (</w:t>
            </w:r>
            <w:r w:rsidRPr="00D51EE4" w:rsidR="003A0DB7">
              <w:rPr>
                <w:rFonts w:eastAsia="Calibri" w:cstheme="minorHAnsi"/>
                <w:b/>
                <w:bCs/>
                <w:sz w:val="20"/>
                <w:szCs w:val="20"/>
                <w:lang w:val="en-GB"/>
              </w:rPr>
              <w:t>Cox’s Bazaar</w:t>
            </w:r>
            <w:r w:rsidRPr="00D51EE4">
              <w:rPr>
                <w:rFonts w:eastAsia="Times New Roman" w:cstheme="minorHAnsi"/>
                <w:color w:val="000000"/>
                <w:sz w:val="20"/>
                <w:szCs w:val="20"/>
                <w:lang w:val="en-GB"/>
              </w:rPr>
              <w:t>)</w:t>
            </w:r>
          </w:p>
          <w:p w:rsidRPr="00D51EE4" w:rsidR="009A66E3" w:rsidP="009A66E3" w:rsidRDefault="009A66E3" w14:paraId="45509C0A" w14:textId="77777777">
            <w:pPr>
              <w:pStyle w:val="ListParagraph"/>
              <w:spacing w:before="80" w:after="80"/>
              <w:ind w:left="1105"/>
              <w:rPr>
                <w:rFonts w:eastAsia="Times New Roman" w:cstheme="minorHAnsi"/>
                <w:b/>
                <w:color w:val="000000"/>
                <w:sz w:val="20"/>
                <w:szCs w:val="20"/>
                <w:lang w:val="en-GB"/>
              </w:rPr>
            </w:pPr>
            <w:r w:rsidRPr="00D51EE4">
              <w:rPr>
                <w:rFonts w:eastAsia="Times New Roman" w:cstheme="minorHAnsi"/>
                <w:color w:val="000000"/>
                <w:sz w:val="20"/>
                <w:szCs w:val="20"/>
                <w:lang w:val="en-GB"/>
              </w:rPr>
              <w:t>- Guidance Note on integrated EiE/</w:t>
            </w:r>
            <w:proofErr w:type="spellStart"/>
            <w:r w:rsidRPr="00D51EE4">
              <w:rPr>
                <w:rFonts w:eastAsia="Times New Roman" w:cstheme="minorHAnsi"/>
                <w:color w:val="000000"/>
                <w:sz w:val="20"/>
                <w:szCs w:val="20"/>
                <w:lang w:val="en-GB"/>
              </w:rPr>
              <w:t>CPiE</w:t>
            </w:r>
            <w:proofErr w:type="spellEnd"/>
            <w:r w:rsidRPr="00D51EE4">
              <w:rPr>
                <w:rFonts w:eastAsia="Times New Roman" w:cstheme="minorHAnsi"/>
                <w:color w:val="000000"/>
                <w:sz w:val="20"/>
                <w:szCs w:val="20"/>
                <w:lang w:val="en-GB"/>
              </w:rPr>
              <w:t xml:space="preserve"> programming for CFS/ TLS -  guide partners on which sector to report inter-sector activities to </w:t>
            </w:r>
            <w:r w:rsidRPr="00D51EE4">
              <w:rPr>
                <w:rFonts w:eastAsia="Times New Roman" w:cstheme="minorHAnsi"/>
                <w:b/>
                <w:color w:val="000000"/>
                <w:sz w:val="20"/>
                <w:szCs w:val="20"/>
                <w:lang w:val="en-GB"/>
              </w:rPr>
              <w:t>(Iraq)</w:t>
            </w:r>
          </w:p>
          <w:p w:rsidRPr="00D51EE4" w:rsidR="009A66E3" w:rsidP="009A66E3" w:rsidRDefault="009A66E3" w14:paraId="407F150F" w14:textId="77777777">
            <w:pPr>
              <w:pStyle w:val="ListParagraph"/>
              <w:numPr>
                <w:ilvl w:val="1"/>
                <w:numId w:val="21"/>
              </w:numPr>
              <w:spacing w:before="80" w:after="80"/>
              <w:ind w:left="822"/>
              <w:rPr>
                <w:rFonts w:cstheme="minorHAnsi"/>
                <w:sz w:val="20"/>
                <w:szCs w:val="20"/>
                <w:lang w:val="en-GB"/>
              </w:rPr>
            </w:pPr>
            <w:r w:rsidRPr="00D51EE4">
              <w:rPr>
                <w:rFonts w:eastAsia="Times New Roman" w:cstheme="minorHAnsi"/>
                <w:b/>
                <w:color w:val="000000"/>
                <w:sz w:val="20"/>
                <w:szCs w:val="20"/>
                <w:lang w:val="en-GB"/>
              </w:rPr>
              <w:t>By funding source</w:t>
            </w:r>
            <w:r w:rsidRPr="00D51EE4">
              <w:rPr>
                <w:rFonts w:eastAsia="Times New Roman" w:cstheme="minorHAnsi"/>
                <w:color w:val="000000"/>
                <w:sz w:val="20"/>
                <w:szCs w:val="20"/>
                <w:lang w:val="en-GB"/>
              </w:rPr>
              <w:t>: Funding received through one sector, it is reported to this sector. But sectors don’t cross check/verify the other sectors reach.</w:t>
            </w:r>
          </w:p>
          <w:p w:rsidRPr="00D51EE4" w:rsidR="009A66E3" w:rsidP="009A66E3" w:rsidRDefault="009A66E3" w14:paraId="78944092" w14:textId="54DD58DF">
            <w:pPr>
              <w:pStyle w:val="ListParagraph"/>
              <w:numPr>
                <w:ilvl w:val="0"/>
                <w:numId w:val="21"/>
              </w:numPr>
              <w:spacing w:before="40"/>
              <w:ind w:left="312" w:hanging="284"/>
              <w:rPr>
                <w:rFonts w:cstheme="minorHAnsi"/>
                <w:sz w:val="20"/>
                <w:szCs w:val="20"/>
                <w:lang w:val="en-GB"/>
              </w:rPr>
            </w:pPr>
            <w:proofErr w:type="gramStart"/>
            <w:r w:rsidRPr="00D51EE4">
              <w:rPr>
                <w:rFonts w:eastAsia="Times New Roman" w:cstheme="minorHAnsi"/>
                <w:color w:val="000000"/>
                <w:sz w:val="20"/>
                <w:szCs w:val="20"/>
                <w:lang w:val="en-GB"/>
              </w:rPr>
              <w:t>Plus</w:t>
            </w:r>
            <w:proofErr w:type="gramEnd"/>
            <w:r w:rsidRPr="00D51EE4">
              <w:rPr>
                <w:rFonts w:eastAsia="Times New Roman" w:cstheme="minorHAnsi"/>
                <w:color w:val="000000"/>
                <w:sz w:val="20"/>
                <w:szCs w:val="20"/>
                <w:lang w:val="en-GB"/>
              </w:rPr>
              <w:t xml:space="preserve"> follow-up discussion with key inter-sector partners to clarify reporting lines (</w:t>
            </w:r>
            <w:r w:rsidRPr="00D51EE4" w:rsidR="00406B0E">
              <w:rPr>
                <w:rFonts w:eastAsia="Calibri" w:cstheme="minorHAnsi"/>
                <w:b/>
                <w:bCs/>
                <w:sz w:val="20"/>
                <w:szCs w:val="20"/>
                <w:lang w:val="en-GB"/>
              </w:rPr>
              <w:t>Cox’s Bazaar</w:t>
            </w:r>
            <w:r w:rsidRPr="00D51EE4">
              <w:rPr>
                <w:rFonts w:eastAsia="Times New Roman" w:cstheme="minorHAnsi"/>
                <w:color w:val="000000"/>
                <w:sz w:val="20"/>
                <w:szCs w:val="20"/>
                <w:lang w:val="en-GB"/>
              </w:rPr>
              <w:t>)</w:t>
            </w:r>
          </w:p>
          <w:p w:rsidRPr="00D51EE4" w:rsidR="009A66E3" w:rsidP="00D51EE4" w:rsidRDefault="009A66E3" w14:paraId="246ADD25" w14:textId="32B2A152">
            <w:pPr>
              <w:rPr>
                <w:rFonts w:cstheme="minorHAnsi"/>
                <w:sz w:val="20"/>
                <w:szCs w:val="20"/>
                <w:u w:val="single"/>
                <w:lang w:val="en-GB"/>
              </w:rPr>
            </w:pPr>
          </w:p>
          <w:p w:rsidRPr="00D51EE4" w:rsidR="009A66E3" w:rsidP="003A0DB7" w:rsidRDefault="009A66E3" w14:paraId="34EB123F" w14:textId="5007C93F">
            <w:pPr>
              <w:rPr>
                <w:rFonts w:eastAsia="Times New Roman" w:cstheme="minorHAnsi"/>
                <w:color w:val="000000"/>
                <w:sz w:val="20"/>
                <w:szCs w:val="20"/>
                <w:lang w:val="en-GB"/>
              </w:rPr>
            </w:pPr>
            <w:r w:rsidRPr="003A0DB7">
              <w:rPr>
                <w:rFonts w:cstheme="minorHAnsi"/>
                <w:bCs/>
                <w:sz w:val="20"/>
                <w:szCs w:val="20"/>
                <w:u w:val="single"/>
                <w:lang w:val="en-GB"/>
              </w:rPr>
              <w:t>Aggregation</w:t>
            </w:r>
            <w:r w:rsidRPr="00D51EE4">
              <w:rPr>
                <w:rFonts w:eastAsia="Times New Roman" w:cstheme="minorHAnsi"/>
                <w:color w:val="000000"/>
                <w:sz w:val="20"/>
                <w:szCs w:val="20"/>
                <w:u w:val="single"/>
                <w:lang w:val="en-GB"/>
              </w:rPr>
              <w:t xml:space="preserve"> indicators</w:t>
            </w:r>
            <w:r w:rsidRPr="00D51EE4">
              <w:rPr>
                <w:rFonts w:eastAsia="Times New Roman" w:cstheme="minorHAnsi"/>
                <w:color w:val="000000"/>
                <w:sz w:val="20"/>
                <w:szCs w:val="20"/>
                <w:lang w:val="en-GB"/>
              </w:rPr>
              <w:t xml:space="preserve"> (</w:t>
            </w:r>
            <w:r w:rsidRPr="00D51EE4">
              <w:rPr>
                <w:rFonts w:eastAsia="Times New Roman" w:cstheme="minorHAnsi"/>
                <w:b/>
                <w:color w:val="000000"/>
                <w:sz w:val="20"/>
                <w:szCs w:val="20"/>
                <w:lang w:val="en-GB"/>
              </w:rPr>
              <w:t>Iraq</w:t>
            </w:r>
            <w:r w:rsidRPr="00D51EE4">
              <w:rPr>
                <w:rFonts w:eastAsia="Times New Roman" w:cstheme="minorHAnsi"/>
                <w:color w:val="000000"/>
                <w:sz w:val="20"/>
                <w:szCs w:val="20"/>
                <w:lang w:val="en-GB"/>
              </w:rPr>
              <w:t>). To change reporting lines is political, better to have the correct system to aggregate reporting, no matter which “cluster” partners submit to.</w:t>
            </w:r>
          </w:p>
          <w:p w:rsidRPr="00D51EE4" w:rsidR="009A66E3" w:rsidP="00D51EE4" w:rsidRDefault="009A66E3" w14:paraId="43429CAF" w14:textId="77777777">
            <w:pPr>
              <w:rPr>
                <w:rFonts w:cstheme="minorHAnsi"/>
                <w:sz w:val="20"/>
                <w:szCs w:val="20"/>
                <w:lang w:val="en-GB"/>
              </w:rPr>
            </w:pPr>
          </w:p>
          <w:p w:rsidRPr="00D51EE4" w:rsidR="009A66E3" w:rsidP="003A0DB7" w:rsidRDefault="009A66E3" w14:paraId="2C4ACD9C" w14:textId="736EB564">
            <w:pPr>
              <w:rPr>
                <w:rFonts w:cstheme="minorHAnsi"/>
                <w:sz w:val="20"/>
                <w:szCs w:val="20"/>
                <w:u w:val="single"/>
                <w:lang w:val="en-GB"/>
              </w:rPr>
            </w:pPr>
            <w:r w:rsidRPr="003A0DB7">
              <w:rPr>
                <w:rFonts w:cstheme="minorHAnsi"/>
                <w:bCs/>
                <w:sz w:val="20"/>
                <w:szCs w:val="20"/>
                <w:u w:val="single"/>
                <w:lang w:val="en-GB"/>
              </w:rPr>
              <w:t>Monitoring</w:t>
            </w:r>
            <w:r w:rsidRPr="00D51EE4">
              <w:rPr>
                <w:rFonts w:cstheme="minorHAnsi"/>
                <w:sz w:val="20"/>
                <w:szCs w:val="20"/>
                <w:u w:val="single"/>
                <w:lang w:val="en-GB"/>
              </w:rPr>
              <w:t xml:space="preserve"> </w:t>
            </w:r>
            <w:r w:rsidRPr="00D51EE4" w:rsidR="00DD31F0">
              <w:rPr>
                <w:rFonts w:cstheme="minorHAnsi"/>
                <w:sz w:val="20"/>
                <w:szCs w:val="20"/>
                <w:u w:val="single"/>
                <w:lang w:val="en-GB"/>
              </w:rPr>
              <w:t>&amp; Evaluating</w:t>
            </w:r>
            <w:r w:rsidR="00D51EE4">
              <w:rPr>
                <w:rFonts w:cstheme="minorHAnsi"/>
                <w:sz w:val="20"/>
                <w:szCs w:val="20"/>
                <w:u w:val="single"/>
                <w:lang w:val="en-GB"/>
              </w:rPr>
              <w:t xml:space="preserve"> the extent &amp; quality of CP-EiE Collaboration</w:t>
            </w:r>
            <w:r w:rsidR="00D51EE4">
              <w:rPr>
                <w:rFonts w:cstheme="minorHAnsi"/>
                <w:sz w:val="20"/>
                <w:szCs w:val="20"/>
                <w:lang w:val="en-GB"/>
              </w:rPr>
              <w:t xml:space="preserve"> (</w:t>
            </w:r>
            <w:hyperlink w:history="1" r:id="rId21">
              <w:r w:rsidRPr="00D51EE4" w:rsidR="00D51EE4">
                <w:rPr>
                  <w:rStyle w:val="Hyperlink"/>
                  <w:rFonts w:cstheme="minorHAnsi"/>
                  <w:sz w:val="20"/>
                  <w:szCs w:val="20"/>
                  <w:lang w:val="en-GB"/>
                </w:rPr>
                <w:t>Annex 14</w:t>
              </w:r>
            </w:hyperlink>
            <w:r w:rsidR="00D51EE4">
              <w:rPr>
                <w:rFonts w:cstheme="minorHAnsi"/>
                <w:sz w:val="20"/>
                <w:szCs w:val="20"/>
                <w:lang w:val="en-GB"/>
              </w:rPr>
              <w:t>)</w:t>
            </w:r>
          </w:p>
          <w:p w:rsidRPr="00D51EE4" w:rsidR="009A66E3" w:rsidP="009A66E3" w:rsidRDefault="00E1190C" w14:paraId="26BAC5C3" w14:textId="7CA3A343">
            <w:pPr>
              <w:pStyle w:val="ListParagraph"/>
              <w:numPr>
                <w:ilvl w:val="0"/>
                <w:numId w:val="21"/>
              </w:numPr>
              <w:spacing w:before="40"/>
              <w:ind w:left="312" w:hanging="284"/>
              <w:rPr>
                <w:rFonts w:cstheme="minorHAnsi"/>
                <w:sz w:val="20"/>
                <w:szCs w:val="20"/>
                <w:lang w:val="en-GB"/>
              </w:rPr>
            </w:pPr>
            <w:hyperlink w:history="1" r:id="rId22">
              <w:r w:rsidRPr="00D51EE4" w:rsidR="009A66E3">
                <w:rPr>
                  <w:rStyle w:val="Hyperlink"/>
                  <w:rFonts w:eastAsia="Times New Roman" w:cstheme="minorHAnsi"/>
                  <w:sz w:val="20"/>
                  <w:szCs w:val="20"/>
                  <w:lang w:val="en-GB"/>
                </w:rPr>
                <w:t>CP checklist for schools</w:t>
              </w:r>
            </w:hyperlink>
            <w:r w:rsidRPr="00D51EE4" w:rsidR="009A66E3">
              <w:rPr>
                <w:rFonts w:eastAsia="Times New Roman" w:cstheme="minorHAnsi"/>
                <w:color w:val="000000"/>
                <w:sz w:val="20"/>
                <w:szCs w:val="20"/>
                <w:lang w:val="en-GB"/>
              </w:rPr>
              <w:t xml:space="preserve"> (</w:t>
            </w:r>
            <w:r w:rsidRPr="00D51EE4" w:rsidR="009A66E3">
              <w:rPr>
                <w:rFonts w:eastAsia="Times New Roman" w:cstheme="minorHAnsi"/>
                <w:b/>
                <w:color w:val="000000"/>
                <w:sz w:val="20"/>
                <w:szCs w:val="20"/>
                <w:lang w:val="en-GB"/>
              </w:rPr>
              <w:t>Zimbabwe</w:t>
            </w:r>
            <w:r w:rsidRPr="00D51EE4" w:rsidR="009A66E3">
              <w:rPr>
                <w:rFonts w:eastAsia="Times New Roman" w:cstheme="minorHAnsi"/>
                <w:color w:val="000000"/>
                <w:sz w:val="20"/>
                <w:szCs w:val="20"/>
                <w:lang w:val="en-GB"/>
              </w:rPr>
              <w:t>) - monitoring</w:t>
            </w:r>
            <w:r w:rsidRPr="00D51EE4" w:rsidR="009A66E3">
              <w:rPr>
                <w:rFonts w:cstheme="minorHAnsi"/>
                <w:sz w:val="20"/>
                <w:szCs w:val="20"/>
                <w:lang w:val="en-GB"/>
              </w:rPr>
              <w:t xml:space="preserve"> tool to guide child protection and education sectors in identifying and bridging gaps in mainstreaming CP sensitive approaches in schooling system. The outcomes of the monitoring tool are utilised for strengthening efforts to build linkages between CP and education sectors through district and national inter sectorial coordination meetings.  </w:t>
            </w:r>
          </w:p>
          <w:p w:rsidRPr="00D51EE4" w:rsidR="009A66E3" w:rsidP="009A66E3" w:rsidRDefault="009A66E3" w14:paraId="66418A5A" w14:textId="77777777">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Integration Checklist (</w:t>
            </w:r>
            <w:r w:rsidRPr="00D51EE4">
              <w:rPr>
                <w:rFonts w:cstheme="minorHAnsi"/>
                <w:b/>
                <w:sz w:val="20"/>
                <w:szCs w:val="20"/>
                <w:lang w:val="en-GB"/>
              </w:rPr>
              <w:t>Nigeria)</w:t>
            </w:r>
          </w:p>
          <w:p w:rsidRPr="00D51EE4" w:rsidR="009A66E3" w:rsidP="009A66E3" w:rsidRDefault="009A66E3" w14:paraId="7B658797" w14:textId="00335BB8">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 xml:space="preserve">PSS </w:t>
            </w:r>
            <w:r w:rsidRPr="00D51EE4" w:rsidR="002B0D60">
              <w:rPr>
                <w:rFonts w:cstheme="minorHAnsi"/>
                <w:sz w:val="20"/>
                <w:szCs w:val="20"/>
                <w:lang w:val="en-GB"/>
              </w:rPr>
              <w:t xml:space="preserve">&amp; CP </w:t>
            </w:r>
            <w:r w:rsidRPr="00D51EE4">
              <w:rPr>
                <w:rFonts w:cstheme="minorHAnsi"/>
                <w:sz w:val="20"/>
                <w:szCs w:val="20"/>
                <w:lang w:val="en-GB"/>
              </w:rPr>
              <w:t xml:space="preserve">in schools </w:t>
            </w:r>
            <w:hyperlink w:history="1" r:id="rId23">
              <w:r w:rsidRPr="00D51EE4" w:rsidR="002B0D60">
                <w:rPr>
                  <w:rStyle w:val="Hyperlink"/>
                  <w:rFonts w:eastAsia="Times New Roman" w:cstheme="minorHAnsi"/>
                  <w:sz w:val="20"/>
                  <w:szCs w:val="20"/>
                  <w:lang w:val="en-GB"/>
                </w:rPr>
                <w:t>checklist</w:t>
              </w:r>
            </w:hyperlink>
            <w:r w:rsidRPr="00D51EE4" w:rsidR="002B0D60">
              <w:rPr>
                <w:rFonts w:cstheme="minorHAnsi"/>
                <w:sz w:val="20"/>
                <w:szCs w:val="20"/>
                <w:lang w:val="en-GB"/>
              </w:rPr>
              <w:t xml:space="preserve"> </w:t>
            </w:r>
            <w:r w:rsidRPr="00D51EE4">
              <w:rPr>
                <w:rFonts w:cstheme="minorHAnsi"/>
                <w:sz w:val="20"/>
                <w:szCs w:val="20"/>
                <w:lang w:val="en-GB"/>
              </w:rPr>
              <w:t>developed by MHPSS taskforce (</w:t>
            </w:r>
            <w:r w:rsidRPr="00D51EE4">
              <w:rPr>
                <w:rFonts w:cstheme="minorHAnsi"/>
                <w:b/>
                <w:sz w:val="20"/>
                <w:szCs w:val="20"/>
                <w:lang w:val="en-GB"/>
              </w:rPr>
              <w:t>South Sudan</w:t>
            </w:r>
            <w:r w:rsidRPr="00D51EE4">
              <w:rPr>
                <w:rFonts w:cstheme="minorHAnsi"/>
                <w:sz w:val="20"/>
                <w:szCs w:val="20"/>
                <w:lang w:val="en-GB"/>
              </w:rPr>
              <w:t>)</w:t>
            </w:r>
          </w:p>
          <w:p w:rsidR="002F323D" w:rsidP="002F323D" w:rsidRDefault="0035024E" w14:paraId="3343E00D" w14:textId="77777777">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C</w:t>
            </w:r>
            <w:r w:rsidRPr="00D51EE4" w:rsidR="009A66E3">
              <w:rPr>
                <w:rFonts w:cstheme="minorHAnsi"/>
                <w:sz w:val="20"/>
                <w:szCs w:val="20"/>
                <w:lang w:val="en-GB"/>
              </w:rPr>
              <w:t xml:space="preserve">ross-sector </w:t>
            </w:r>
            <w:r w:rsidRPr="00D51EE4">
              <w:rPr>
                <w:rFonts w:cstheme="minorHAnsi"/>
                <w:sz w:val="20"/>
                <w:szCs w:val="20"/>
                <w:lang w:val="en-GB"/>
              </w:rPr>
              <w:t xml:space="preserve">tagging </w:t>
            </w:r>
            <w:r w:rsidRPr="00D51EE4" w:rsidR="009A66E3">
              <w:rPr>
                <w:rFonts w:cstheme="minorHAnsi"/>
                <w:sz w:val="20"/>
                <w:szCs w:val="20"/>
                <w:lang w:val="en-GB"/>
              </w:rPr>
              <w:t>– a</w:t>
            </w:r>
            <w:r w:rsidRPr="00D51EE4">
              <w:rPr>
                <w:rFonts w:cstheme="minorHAnsi"/>
                <w:sz w:val="20"/>
                <w:szCs w:val="20"/>
                <w:lang w:val="en-GB"/>
              </w:rPr>
              <w:t>n</w:t>
            </w:r>
            <w:r w:rsidRPr="00D51EE4" w:rsidR="009A66E3">
              <w:rPr>
                <w:rFonts w:cstheme="minorHAnsi"/>
                <w:sz w:val="20"/>
                <w:szCs w:val="20"/>
                <w:lang w:val="en-GB"/>
              </w:rPr>
              <w:t xml:space="preserve"> additional layer in reporting that allows monitoring the extent/prevalence of integrated programming, and eventually the value-add impact </w:t>
            </w:r>
            <w:r w:rsidRPr="00D51EE4" w:rsidR="009A66E3">
              <w:rPr>
                <w:rFonts w:cstheme="minorHAnsi"/>
                <w:b/>
                <w:sz w:val="20"/>
                <w:szCs w:val="20"/>
                <w:lang w:val="en-GB"/>
              </w:rPr>
              <w:t>(W</w:t>
            </w:r>
            <w:r w:rsidR="003A0DB7">
              <w:rPr>
                <w:rFonts w:cstheme="minorHAnsi"/>
                <w:b/>
                <w:sz w:val="20"/>
                <w:szCs w:val="20"/>
                <w:lang w:val="en-GB"/>
              </w:rPr>
              <w:t>hole of Syria</w:t>
            </w:r>
            <w:r w:rsidRPr="00D51EE4" w:rsidR="009A66E3">
              <w:rPr>
                <w:rFonts w:cstheme="minorHAnsi"/>
                <w:b/>
                <w:sz w:val="20"/>
                <w:szCs w:val="20"/>
                <w:lang w:val="en-GB"/>
              </w:rPr>
              <w:t xml:space="preserve"> </w:t>
            </w:r>
            <w:r w:rsidRPr="00D51EE4" w:rsidR="009A66E3">
              <w:rPr>
                <w:rFonts w:cstheme="minorHAnsi"/>
                <w:sz w:val="20"/>
                <w:szCs w:val="20"/>
                <w:lang w:val="en-GB"/>
              </w:rPr>
              <w:t xml:space="preserve">2019 example of </w:t>
            </w:r>
            <w:r w:rsidR="003A0DB7">
              <w:rPr>
                <w:rFonts w:cstheme="minorHAnsi"/>
                <w:sz w:val="20"/>
                <w:szCs w:val="20"/>
                <w:lang w:val="en-GB"/>
              </w:rPr>
              <w:t xml:space="preserve">4Ws </w:t>
            </w:r>
            <w:r w:rsidRPr="00D51EE4" w:rsidR="009A66E3">
              <w:rPr>
                <w:rFonts w:cstheme="minorHAnsi"/>
                <w:sz w:val="20"/>
                <w:szCs w:val="20"/>
                <w:lang w:val="en-GB"/>
              </w:rPr>
              <w:t xml:space="preserve">tagging for adolescents, 2018 example of </w:t>
            </w:r>
            <w:r w:rsidR="003A0DB7">
              <w:rPr>
                <w:rFonts w:cstheme="minorHAnsi"/>
                <w:sz w:val="20"/>
                <w:szCs w:val="20"/>
                <w:lang w:val="en-GB"/>
              </w:rPr>
              <w:t xml:space="preserve">4Ws </w:t>
            </w:r>
            <w:r w:rsidRPr="00D51EE4" w:rsidR="009A66E3">
              <w:rPr>
                <w:rFonts w:cstheme="minorHAnsi"/>
                <w:sz w:val="20"/>
                <w:szCs w:val="20"/>
                <w:lang w:val="en-GB"/>
              </w:rPr>
              <w:t>tagging for No Lost Generation)</w:t>
            </w:r>
          </w:p>
          <w:p w:rsidR="00AC5624" w:rsidP="00AC5624" w:rsidRDefault="00AC5624" w14:paraId="796446A7" w14:textId="77777777">
            <w:pPr>
              <w:spacing w:before="40"/>
              <w:rPr>
                <w:rFonts w:cstheme="minorHAnsi"/>
                <w:sz w:val="20"/>
                <w:szCs w:val="20"/>
                <w:lang w:val="en-GB"/>
              </w:rPr>
            </w:pPr>
          </w:p>
          <w:p w:rsidR="00AC5624" w:rsidP="00AC5624" w:rsidRDefault="00AC5624" w14:paraId="2D62A23D" w14:textId="77777777">
            <w:pPr>
              <w:spacing w:before="40"/>
              <w:rPr>
                <w:rFonts w:cstheme="minorHAnsi"/>
                <w:sz w:val="20"/>
                <w:szCs w:val="20"/>
                <w:lang w:val="en-GB"/>
              </w:rPr>
            </w:pPr>
          </w:p>
          <w:p w:rsidR="00AC5624" w:rsidP="00AC5624" w:rsidRDefault="00AC5624" w14:paraId="05AFC1DC" w14:textId="77777777">
            <w:pPr>
              <w:spacing w:before="40"/>
              <w:rPr>
                <w:rFonts w:cstheme="minorHAnsi"/>
                <w:sz w:val="20"/>
                <w:szCs w:val="20"/>
                <w:lang w:val="en-GB"/>
              </w:rPr>
            </w:pPr>
          </w:p>
          <w:p w:rsidR="00AC5624" w:rsidP="00AC5624" w:rsidRDefault="00AC5624" w14:paraId="7A00DDAE" w14:textId="77777777">
            <w:pPr>
              <w:spacing w:before="40"/>
              <w:rPr>
                <w:rFonts w:cstheme="minorHAnsi"/>
                <w:sz w:val="20"/>
                <w:szCs w:val="20"/>
                <w:lang w:val="en-GB"/>
              </w:rPr>
            </w:pPr>
          </w:p>
          <w:p w:rsidRPr="00AC5624" w:rsidR="00AC5624" w:rsidP="00AC5624" w:rsidRDefault="00AC5624" w14:paraId="3D133E56" w14:textId="42ACCB52">
            <w:pPr>
              <w:spacing w:before="40"/>
              <w:rPr>
                <w:rFonts w:cstheme="minorHAnsi"/>
                <w:sz w:val="20"/>
                <w:szCs w:val="20"/>
                <w:lang w:val="en-GB"/>
              </w:rPr>
            </w:pPr>
          </w:p>
        </w:tc>
      </w:tr>
      <w:tr w:rsidRPr="0035024E" w:rsidR="0019309F" w:rsidTr="04C5A6C8" w14:paraId="7398F3F6" w14:textId="77777777">
        <w:trPr>
          <w:trHeight w:val="199"/>
        </w:trPr>
        <w:tc>
          <w:tcPr>
            <w:tcW w:w="14601" w:type="dxa"/>
            <w:gridSpan w:val="4"/>
            <w:shd w:val="clear" w:color="auto" w:fill="EB3741"/>
            <w:tcMar/>
          </w:tcPr>
          <w:p w:rsidRPr="0019309F" w:rsidR="0019309F" w:rsidP="00D51EE4" w:rsidRDefault="0019309F" w14:paraId="02B1A1CD" w14:textId="76658DC8">
            <w:pPr>
              <w:jc w:val="center"/>
              <w:rPr>
                <w:rFonts w:eastAsia="Times New Roman" w:cstheme="minorHAnsi"/>
                <w:b/>
                <w:bCs/>
                <w:color w:val="000000"/>
                <w:sz w:val="20"/>
                <w:szCs w:val="20"/>
                <w:lang w:val="en-GB"/>
              </w:rPr>
            </w:pPr>
            <w:r w:rsidRPr="0019309F">
              <w:rPr>
                <w:rFonts w:eastAsia="Times New Roman" w:cstheme="minorHAnsi"/>
                <w:b/>
                <w:bCs/>
                <w:color w:val="FFFFFF" w:themeColor="background1"/>
                <w:sz w:val="20"/>
                <w:szCs w:val="20"/>
                <w:lang w:val="en-GB"/>
              </w:rPr>
              <w:lastRenderedPageBreak/>
              <w:t>GLOBAL LEVEL RESOURCES</w:t>
            </w:r>
          </w:p>
        </w:tc>
      </w:tr>
      <w:tr w:rsidRPr="0035024E" w:rsidR="009A66E3" w:rsidTr="04C5A6C8" w14:paraId="4A849633" w14:textId="77777777">
        <w:trPr>
          <w:trHeight w:val="1392"/>
        </w:trPr>
        <w:tc>
          <w:tcPr>
            <w:tcW w:w="4395" w:type="dxa"/>
            <w:tcMar/>
          </w:tcPr>
          <w:p w:rsidRPr="00D51EE4" w:rsidR="00406B0E" w:rsidP="002B6750" w:rsidRDefault="00406B0E" w14:paraId="00A49012" w14:textId="3E2FE5A0">
            <w:pPr>
              <w:pStyle w:val="ListParagraph"/>
              <w:numPr>
                <w:ilvl w:val="0"/>
                <w:numId w:val="21"/>
              </w:numPr>
              <w:spacing w:before="40"/>
              <w:ind w:left="312" w:hanging="284"/>
              <w:rPr>
                <w:rFonts w:cstheme="minorHAnsi"/>
                <w:sz w:val="20"/>
                <w:szCs w:val="20"/>
                <w:lang w:val="en-GB"/>
              </w:rPr>
            </w:pPr>
            <w:r w:rsidRPr="00D51EE4">
              <w:rPr>
                <w:rFonts w:eastAsia="Times New Roman"/>
                <w:sz w:val="20"/>
                <w:szCs w:val="20"/>
                <w:lang w:val="en-GB"/>
              </w:rPr>
              <w:t>Scenario-based considerations for the differentiation of complementary  CP-EiE activities (</w:t>
            </w:r>
            <w:hyperlink w:history="1" r:id="rId24">
              <w:r w:rsidRPr="00D51EE4">
                <w:rPr>
                  <w:rStyle w:val="Hyperlink"/>
                  <w:rFonts w:eastAsia="Times New Roman"/>
                  <w:sz w:val="20"/>
                  <w:szCs w:val="20"/>
                  <w:lang w:val="en-GB"/>
                </w:rPr>
                <w:t>Annex 11</w:t>
              </w:r>
            </w:hyperlink>
            <w:r w:rsidRPr="00D51EE4">
              <w:rPr>
                <w:rFonts w:eastAsia="Times New Roman"/>
                <w:sz w:val="20"/>
                <w:szCs w:val="20"/>
                <w:lang w:val="en-GB"/>
              </w:rPr>
              <w:t>)</w:t>
            </w:r>
          </w:p>
          <w:p w:rsidRPr="00D51EE4" w:rsidR="006526F4" w:rsidP="002B6750" w:rsidRDefault="006526F4" w14:paraId="6683AD8D" w14:textId="3FB7938E">
            <w:pPr>
              <w:pStyle w:val="ListParagraph"/>
              <w:numPr>
                <w:ilvl w:val="0"/>
                <w:numId w:val="21"/>
              </w:numPr>
              <w:spacing w:before="40"/>
              <w:ind w:left="312" w:hanging="284"/>
              <w:rPr>
                <w:rFonts w:cstheme="minorHAnsi"/>
                <w:sz w:val="20"/>
                <w:szCs w:val="20"/>
                <w:lang w:val="en-GB"/>
              </w:rPr>
            </w:pPr>
            <w:r w:rsidRPr="00D51EE4">
              <w:rPr>
                <w:rFonts w:eastAsia="Times New Roman"/>
                <w:sz w:val="20"/>
                <w:szCs w:val="20"/>
                <w:lang w:val="en-GB"/>
              </w:rPr>
              <w:t>For gender considerations in implementation, see </w:t>
            </w:r>
            <w:hyperlink w:history="1" r:id="rId25">
              <w:r w:rsidRPr="00D51EE4">
                <w:rPr>
                  <w:rStyle w:val="Hyperlink"/>
                  <w:rFonts w:eastAsia="Times New Roman"/>
                  <w:sz w:val="20"/>
                  <w:szCs w:val="20"/>
                  <w:lang w:val="en-GB"/>
                </w:rPr>
                <w:t>INEE Guidance Note on Gender</w:t>
              </w:r>
            </w:hyperlink>
            <w:r w:rsidRPr="00D51EE4">
              <w:rPr>
                <w:rFonts w:eastAsia="Times New Roman"/>
                <w:sz w:val="20"/>
                <w:szCs w:val="20"/>
                <w:lang w:val="en-GB"/>
              </w:rPr>
              <w:t xml:space="preserve"> (2019) Strategies for gender-responsive planning and implementation p. 94-97</w:t>
            </w:r>
          </w:p>
        </w:tc>
        <w:tc>
          <w:tcPr>
            <w:tcW w:w="3119" w:type="dxa"/>
            <w:tcMar/>
          </w:tcPr>
          <w:p w:rsidRPr="003A0DB7" w:rsidR="009A66E3" w:rsidP="003A0DB7" w:rsidRDefault="009A66E3" w14:paraId="64A5D662" w14:textId="77777777">
            <w:pPr>
              <w:spacing w:before="40"/>
              <w:ind w:left="28"/>
              <w:rPr>
                <w:rFonts w:cstheme="minorHAnsi"/>
                <w:sz w:val="20"/>
                <w:szCs w:val="20"/>
                <w:lang w:val="en-GB"/>
              </w:rPr>
            </w:pPr>
          </w:p>
        </w:tc>
        <w:tc>
          <w:tcPr>
            <w:tcW w:w="1842" w:type="dxa"/>
            <w:tcMar/>
          </w:tcPr>
          <w:p w:rsidRPr="00D51EE4" w:rsidR="009A66E3" w:rsidP="003A0DB7" w:rsidRDefault="00E1190C" w14:paraId="491E577A" w14:textId="5CF80F61">
            <w:pPr>
              <w:pStyle w:val="ListParagraph"/>
              <w:numPr>
                <w:ilvl w:val="0"/>
                <w:numId w:val="21"/>
              </w:numPr>
              <w:spacing w:before="40"/>
              <w:ind w:left="312" w:hanging="284"/>
              <w:rPr>
                <w:rFonts w:cstheme="minorHAnsi"/>
                <w:sz w:val="20"/>
                <w:szCs w:val="20"/>
                <w:lang w:val="en-GB"/>
              </w:rPr>
            </w:pPr>
            <w:hyperlink w:history="1" r:id="rId26">
              <w:r w:rsidRPr="003A0DB7" w:rsidR="003A0DB7">
                <w:rPr>
                  <w:rStyle w:val="Hyperlink"/>
                  <w:rFonts w:cstheme="minorHAnsi"/>
                  <w:sz w:val="20"/>
                  <w:szCs w:val="20"/>
                  <w:lang w:val="en-GB"/>
                </w:rPr>
                <w:t>Localisation in Coordination</w:t>
              </w:r>
            </w:hyperlink>
            <w:r w:rsidR="003A0DB7">
              <w:rPr>
                <w:rFonts w:cstheme="minorHAnsi"/>
                <w:sz w:val="20"/>
                <w:szCs w:val="20"/>
                <w:lang w:val="en-GB"/>
              </w:rPr>
              <w:t xml:space="preserve"> </w:t>
            </w:r>
            <w:r w:rsidR="003A0DB7">
              <w:rPr>
                <w:rFonts w:cstheme="minorHAnsi"/>
                <w:b/>
                <w:bCs/>
                <w:sz w:val="20"/>
                <w:szCs w:val="20"/>
                <w:lang w:val="en-GB"/>
              </w:rPr>
              <w:t>(GPC and GEC)</w:t>
            </w:r>
          </w:p>
        </w:tc>
        <w:tc>
          <w:tcPr>
            <w:tcW w:w="5245" w:type="dxa"/>
            <w:tcMar/>
          </w:tcPr>
          <w:p w:rsidR="00A54BD9" w:rsidP="002B6750" w:rsidRDefault="00D51EE4" w14:paraId="36A45D23" w14:textId="7931ADCB">
            <w:pPr>
              <w:pStyle w:val="ListParagraph"/>
              <w:numPr>
                <w:ilvl w:val="0"/>
                <w:numId w:val="21"/>
              </w:numPr>
              <w:spacing w:before="40"/>
              <w:ind w:left="312" w:hanging="284"/>
              <w:rPr>
                <w:rFonts w:cstheme="minorHAnsi"/>
                <w:sz w:val="20"/>
                <w:szCs w:val="20"/>
                <w:lang w:val="en-GB"/>
              </w:rPr>
            </w:pPr>
            <w:r>
              <w:rPr>
                <w:rFonts w:cstheme="minorHAnsi"/>
                <w:sz w:val="20"/>
                <w:szCs w:val="20"/>
                <w:lang w:val="en-GB"/>
              </w:rPr>
              <w:t>Example reporting guidance for common and complementary activities (</w:t>
            </w:r>
            <w:hyperlink w:history="1" r:id="rId27">
              <w:r w:rsidRPr="00D51EE4">
                <w:rPr>
                  <w:rStyle w:val="Hyperlink"/>
                  <w:rFonts w:cstheme="minorHAnsi"/>
                  <w:sz w:val="20"/>
                  <w:szCs w:val="20"/>
                  <w:lang w:val="en-GB"/>
                </w:rPr>
                <w:t>Annex 13</w:t>
              </w:r>
            </w:hyperlink>
            <w:r>
              <w:rPr>
                <w:rFonts w:cstheme="minorHAnsi"/>
                <w:sz w:val="20"/>
                <w:szCs w:val="20"/>
                <w:lang w:val="en-GB"/>
              </w:rPr>
              <w:t>)</w:t>
            </w:r>
            <w:r w:rsidRPr="00D51EE4" w:rsidR="00A54BD9">
              <w:rPr>
                <w:rFonts w:cstheme="minorHAnsi"/>
                <w:sz w:val="20"/>
                <w:szCs w:val="20"/>
                <w:lang w:val="en-GB"/>
              </w:rPr>
              <w:t xml:space="preserve"> </w:t>
            </w:r>
          </w:p>
          <w:p w:rsidRPr="00D51EE4" w:rsidR="00D51EE4" w:rsidP="00D51EE4" w:rsidRDefault="00D51EE4" w14:paraId="57618946" w14:textId="77777777">
            <w:pPr>
              <w:pStyle w:val="ListParagraph"/>
              <w:numPr>
                <w:ilvl w:val="0"/>
                <w:numId w:val="21"/>
              </w:numPr>
              <w:spacing w:before="40"/>
              <w:ind w:left="312" w:hanging="284"/>
              <w:rPr>
                <w:rFonts w:cstheme="minorHAnsi"/>
                <w:sz w:val="20"/>
                <w:szCs w:val="20"/>
                <w:lang w:val="en-GB"/>
              </w:rPr>
            </w:pPr>
            <w:r w:rsidRPr="00D51EE4">
              <w:rPr>
                <w:rFonts w:cstheme="minorHAnsi"/>
                <w:sz w:val="20"/>
                <w:szCs w:val="20"/>
                <w:lang w:val="en-GB"/>
              </w:rPr>
              <w:t>Guidance to establish AAP mechanism with a focus on including voices of children in schools and out of schools</w:t>
            </w:r>
            <w:r>
              <w:rPr>
                <w:rFonts w:cstheme="minorHAnsi"/>
                <w:sz w:val="20"/>
                <w:szCs w:val="20"/>
                <w:lang w:val="en-GB"/>
              </w:rPr>
              <w:t xml:space="preserve"> - </w:t>
            </w:r>
            <w:r w:rsidRPr="00D51EE4">
              <w:rPr>
                <w:rFonts w:cstheme="minorHAnsi"/>
                <w:b/>
                <w:bCs/>
                <w:sz w:val="20"/>
                <w:szCs w:val="20"/>
                <w:lang w:val="en-GB"/>
              </w:rPr>
              <w:t>Child Participation resources</w:t>
            </w:r>
            <w:r>
              <w:rPr>
                <w:rFonts w:cstheme="minorHAnsi"/>
                <w:sz w:val="20"/>
                <w:szCs w:val="20"/>
                <w:lang w:val="en-GB"/>
              </w:rPr>
              <w:t xml:space="preserve"> (</w:t>
            </w:r>
            <w:hyperlink w:history="1" r:id="rId28">
              <w:r w:rsidRPr="00D51EE4">
                <w:rPr>
                  <w:rStyle w:val="Hyperlink"/>
                  <w:rFonts w:cstheme="minorHAnsi"/>
                  <w:sz w:val="20"/>
                  <w:szCs w:val="20"/>
                  <w:lang w:val="en-GB"/>
                </w:rPr>
                <w:t>Annex 15</w:t>
              </w:r>
            </w:hyperlink>
            <w:r>
              <w:rPr>
                <w:rFonts w:cstheme="minorHAnsi"/>
                <w:sz w:val="20"/>
                <w:szCs w:val="20"/>
                <w:lang w:val="en-GB"/>
              </w:rPr>
              <w:t>)</w:t>
            </w:r>
          </w:p>
          <w:p w:rsidRPr="00D51EE4" w:rsidR="006526F4" w:rsidP="006526F4" w:rsidRDefault="006526F4" w14:paraId="2C0EB00C" w14:textId="33F725B0">
            <w:pPr>
              <w:pStyle w:val="ListParagraph"/>
              <w:numPr>
                <w:ilvl w:val="0"/>
                <w:numId w:val="21"/>
              </w:numPr>
              <w:spacing w:before="40"/>
              <w:ind w:left="312" w:hanging="284"/>
              <w:rPr>
                <w:rFonts w:cstheme="minorHAnsi"/>
                <w:sz w:val="20"/>
                <w:szCs w:val="20"/>
                <w:lang w:val="en-GB"/>
              </w:rPr>
            </w:pPr>
            <w:r w:rsidRPr="00D51EE4">
              <w:rPr>
                <w:rFonts w:eastAsia="Times New Roman"/>
                <w:sz w:val="20"/>
                <w:szCs w:val="20"/>
                <w:lang w:val="en-GB"/>
              </w:rPr>
              <w:t>For gender considerations in monitoring and evaluation, see </w:t>
            </w:r>
            <w:hyperlink w:history="1" r:id="rId29">
              <w:r w:rsidRPr="00D51EE4">
                <w:rPr>
                  <w:rStyle w:val="Hyperlink"/>
                  <w:rFonts w:eastAsia="Times New Roman"/>
                  <w:sz w:val="20"/>
                  <w:szCs w:val="20"/>
                  <w:lang w:val="en-GB"/>
                </w:rPr>
                <w:t>INEE Guidance Note on Gender</w:t>
              </w:r>
            </w:hyperlink>
            <w:r w:rsidRPr="00D51EE4">
              <w:rPr>
                <w:rFonts w:eastAsia="Times New Roman"/>
                <w:sz w:val="20"/>
                <w:szCs w:val="20"/>
                <w:lang w:val="en-GB"/>
              </w:rPr>
              <w:t xml:space="preserve"> (2019) Strategies for gender-responsive monitoring, and evaluation p. 42-47</w:t>
            </w:r>
          </w:p>
        </w:tc>
      </w:tr>
    </w:tbl>
    <w:p w:rsidRPr="0035024E" w:rsidR="00B0524B" w:rsidP="003A0DB7" w:rsidRDefault="00B0524B" w14:paraId="5FEF296B" w14:textId="7681D302">
      <w:pPr>
        <w:jc w:val="both"/>
        <w:rPr>
          <w:sz w:val="20"/>
          <w:szCs w:val="20"/>
          <w:lang w:val="en-GB"/>
        </w:rPr>
      </w:pPr>
    </w:p>
    <w:sectPr w:rsidRPr="0035024E" w:rsidR="00B0524B" w:rsidSect="00967AC4">
      <w:headerReference w:type="default" r:id="rId30"/>
      <w:pgSz w:w="15840" w:h="12240" w:orient="landscape"/>
      <w:pgMar w:top="1135" w:right="1440" w:bottom="568"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1190C" w:rsidP="004D291C" w:rsidRDefault="00E1190C" w14:paraId="5B507662" w14:textId="77777777">
      <w:pPr>
        <w:spacing w:after="0" w:line="240" w:lineRule="auto"/>
      </w:pPr>
      <w:r>
        <w:separator/>
      </w:r>
    </w:p>
  </w:endnote>
  <w:endnote w:type="continuationSeparator" w:id="0">
    <w:p w:rsidR="00E1190C" w:rsidP="004D291C" w:rsidRDefault="00E1190C" w14:paraId="2E8E226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1190C" w:rsidP="004D291C" w:rsidRDefault="00E1190C" w14:paraId="25E121C0" w14:textId="77777777">
      <w:pPr>
        <w:spacing w:after="0" w:line="240" w:lineRule="auto"/>
      </w:pPr>
      <w:r>
        <w:separator/>
      </w:r>
    </w:p>
  </w:footnote>
  <w:footnote w:type="continuationSeparator" w:id="0">
    <w:p w:rsidR="00E1190C" w:rsidP="004D291C" w:rsidRDefault="00E1190C" w14:paraId="384FA64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231611" w:rsidR="00CD5E03" w:rsidP="00231611" w:rsidRDefault="00231611" w14:paraId="378C72A7" w14:textId="1E013EB8">
    <w:pPr>
      <w:jc w:val="center"/>
      <w:rPr>
        <w:color w:val="0563C1" w:themeColor="hyperlink"/>
        <w:sz w:val="28"/>
        <w:szCs w:val="28"/>
        <w:u w:val="single"/>
      </w:rPr>
    </w:pPr>
    <w:r w:rsidRPr="00BB34F7">
      <w:rPr>
        <w:noProof/>
        <w:sz w:val="28"/>
        <w:szCs w:val="28"/>
        <w:u w:val="single"/>
      </w:rPr>
      <w:drawing>
        <wp:anchor distT="0" distB="0" distL="114300" distR="114300" simplePos="0" relativeHeight="251659264" behindDoc="0" locked="0" layoutInCell="1" allowOverlap="1" wp14:anchorId="08627414" wp14:editId="440BDD8F">
          <wp:simplePos x="0" y="0"/>
          <wp:positionH relativeFrom="column">
            <wp:posOffset>8126095</wp:posOffset>
          </wp:positionH>
          <wp:positionV relativeFrom="paragraph">
            <wp:posOffset>11430</wp:posOffset>
          </wp:positionV>
          <wp:extent cx="735330" cy="266065"/>
          <wp:effectExtent l="0" t="0" r="7620" b="635"/>
          <wp:wrapNone/>
          <wp:docPr id="36"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Pr="00BB34F7">
      <w:rPr>
        <w:noProof/>
        <w:sz w:val="28"/>
        <w:szCs w:val="28"/>
        <w:u w:val="single"/>
      </w:rPr>
      <w:drawing>
        <wp:anchor distT="0" distB="0" distL="114300" distR="114300" simplePos="0" relativeHeight="251660288" behindDoc="0" locked="0" layoutInCell="1" allowOverlap="1" wp14:anchorId="163F9CEE" wp14:editId="2174121B">
          <wp:simplePos x="0" y="0"/>
          <wp:positionH relativeFrom="column">
            <wp:posOffset>7346315</wp:posOffset>
          </wp:positionH>
          <wp:positionV relativeFrom="paragraph">
            <wp:posOffset>-132715</wp:posOffset>
          </wp:positionV>
          <wp:extent cx="707390" cy="472440"/>
          <wp:effectExtent l="0" t="0" r="0" b="3810"/>
          <wp:wrapNone/>
          <wp:docPr id="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7390" cy="472440"/>
                  </a:xfrm>
                  <a:prstGeom prst="rect">
                    <a:avLst/>
                  </a:prstGeom>
                </pic:spPr>
              </pic:pic>
            </a:graphicData>
          </a:graphic>
          <wp14:sizeRelH relativeFrom="page">
            <wp14:pctWidth>0</wp14:pctWidth>
          </wp14:sizeRelH>
          <wp14:sizeRelV relativeFrom="page">
            <wp14:pctHeight>0</wp14:pctHeight>
          </wp14:sizeRelV>
        </wp:anchor>
      </w:drawing>
    </w:r>
    <w:r w:rsidRPr="006B74FC">
      <w:rPr>
        <w:sz w:val="28"/>
        <w:szCs w:val="28"/>
        <w:u w:val="single"/>
      </w:rPr>
      <w:t>CP</w:t>
    </w:r>
    <w:r>
      <w:rPr>
        <w:sz w:val="28"/>
        <w:szCs w:val="28"/>
        <w:u w:val="single"/>
      </w:rPr>
      <w:t>-</w:t>
    </w:r>
    <w:r w:rsidRPr="006B74FC">
      <w:rPr>
        <w:sz w:val="28"/>
        <w:szCs w:val="28"/>
        <w:u w:val="single"/>
      </w:rPr>
      <w:t xml:space="preserve">EiE </w:t>
    </w:r>
    <w:r>
      <w:rPr>
        <w:sz w:val="28"/>
        <w:szCs w:val="28"/>
        <w:u w:val="single"/>
      </w:rPr>
      <w:t xml:space="preserve">Collaboration Framework </w:t>
    </w:r>
    <w:hyperlink w:history="1" r:id="rId3">
      <w:r w:rsidRPr="000A13FB">
        <w:rPr>
          <w:rStyle w:val="Hyperlink"/>
          <w:sz w:val="28"/>
          <w:szCs w:val="28"/>
        </w:rPr>
        <w:t>package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10C9D"/>
    <w:multiLevelType w:val="multilevel"/>
    <w:tmpl w:val="2C52B85A"/>
    <w:lvl w:ilvl="0">
      <w:start w:val="2"/>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0A56036"/>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8207B6"/>
    <w:multiLevelType w:val="hybridMultilevel"/>
    <w:tmpl w:val="E9B0BAD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AB86CA9"/>
    <w:multiLevelType w:val="hybridMultilevel"/>
    <w:tmpl w:val="8B4C65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3010C"/>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F3065F"/>
    <w:multiLevelType w:val="hybridMultilevel"/>
    <w:tmpl w:val="4E8E0D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D236E5E"/>
    <w:multiLevelType w:val="hybridMultilevel"/>
    <w:tmpl w:val="CD7001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B034B2"/>
    <w:multiLevelType w:val="hybridMultilevel"/>
    <w:tmpl w:val="903E40D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9642708"/>
    <w:multiLevelType w:val="hybridMultilevel"/>
    <w:tmpl w:val="42E6E2F6"/>
    <w:lvl w:ilvl="0" w:tplc="BC4078E4">
      <w:start w:val="1"/>
      <w:numFmt w:val="decimal"/>
      <w:lvlText w:val="%1."/>
      <w:lvlJc w:val="left"/>
      <w:pPr>
        <w:ind w:left="720" w:hanging="360"/>
      </w:pPr>
    </w:lvl>
    <w:lvl w:ilvl="1" w:tplc="52F4D516">
      <w:start w:val="1"/>
      <w:numFmt w:val="lowerLetter"/>
      <w:lvlText w:val="%2."/>
      <w:lvlJc w:val="left"/>
      <w:pPr>
        <w:ind w:left="1440" w:hanging="360"/>
      </w:pPr>
    </w:lvl>
    <w:lvl w:ilvl="2" w:tplc="5A7CD6E6">
      <w:start w:val="1"/>
      <w:numFmt w:val="lowerRoman"/>
      <w:lvlText w:val="%3."/>
      <w:lvlJc w:val="right"/>
      <w:pPr>
        <w:ind w:left="2160" w:hanging="180"/>
      </w:pPr>
    </w:lvl>
    <w:lvl w:ilvl="3" w:tplc="F662A432">
      <w:start w:val="1"/>
      <w:numFmt w:val="decimal"/>
      <w:lvlText w:val="%4."/>
      <w:lvlJc w:val="left"/>
      <w:pPr>
        <w:ind w:left="2880" w:hanging="360"/>
      </w:pPr>
    </w:lvl>
    <w:lvl w:ilvl="4" w:tplc="C09E2120">
      <w:start w:val="1"/>
      <w:numFmt w:val="lowerLetter"/>
      <w:lvlText w:val="%5."/>
      <w:lvlJc w:val="left"/>
      <w:pPr>
        <w:ind w:left="3600" w:hanging="360"/>
      </w:pPr>
    </w:lvl>
    <w:lvl w:ilvl="5" w:tplc="3E524376">
      <w:start w:val="1"/>
      <w:numFmt w:val="lowerRoman"/>
      <w:lvlText w:val="%6."/>
      <w:lvlJc w:val="right"/>
      <w:pPr>
        <w:ind w:left="4320" w:hanging="180"/>
      </w:pPr>
    </w:lvl>
    <w:lvl w:ilvl="6" w:tplc="58CE4802">
      <w:start w:val="1"/>
      <w:numFmt w:val="decimal"/>
      <w:lvlText w:val="%7."/>
      <w:lvlJc w:val="left"/>
      <w:pPr>
        <w:ind w:left="5040" w:hanging="360"/>
      </w:pPr>
    </w:lvl>
    <w:lvl w:ilvl="7" w:tplc="01EC1958">
      <w:start w:val="1"/>
      <w:numFmt w:val="lowerLetter"/>
      <w:lvlText w:val="%8."/>
      <w:lvlJc w:val="left"/>
      <w:pPr>
        <w:ind w:left="5760" w:hanging="360"/>
      </w:pPr>
    </w:lvl>
    <w:lvl w:ilvl="8" w:tplc="A5B47FDA">
      <w:start w:val="1"/>
      <w:numFmt w:val="lowerRoman"/>
      <w:lvlText w:val="%9."/>
      <w:lvlJc w:val="right"/>
      <w:pPr>
        <w:ind w:left="6480" w:hanging="180"/>
      </w:pPr>
    </w:lvl>
  </w:abstractNum>
  <w:abstractNum w:abstractNumId="11" w15:restartNumberingAfterBreak="0">
    <w:nsid w:val="3AF16628"/>
    <w:multiLevelType w:val="hybridMultilevel"/>
    <w:tmpl w:val="893A01EC"/>
    <w:lvl w:ilvl="0" w:tplc="B49433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F183B"/>
    <w:multiLevelType w:val="hybridMultilevel"/>
    <w:tmpl w:val="82FC5CCC"/>
    <w:lvl w:ilvl="0" w:tplc="613CD938">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30E07B3"/>
    <w:multiLevelType w:val="hybridMultilevel"/>
    <w:tmpl w:val="3140EA0C"/>
    <w:lvl w:ilvl="0" w:tplc="04090003">
      <w:start w:val="1"/>
      <w:numFmt w:val="bullet"/>
      <w:lvlText w:val="o"/>
      <w:lvlJc w:val="left"/>
      <w:pPr>
        <w:ind w:left="720" w:hanging="360"/>
      </w:pPr>
      <w:rPr>
        <w:rFonts w:hint="default" w:ascii="Courier New" w:hAnsi="Courier New"/>
      </w:rPr>
    </w:lvl>
    <w:lvl w:ilvl="1" w:tplc="04090003">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5043309"/>
    <w:multiLevelType w:val="hybridMultilevel"/>
    <w:tmpl w:val="AF7A7A98"/>
    <w:lvl w:ilvl="0" w:tplc="613CD938">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5521225F"/>
    <w:multiLevelType w:val="hybridMultilevel"/>
    <w:tmpl w:val="A4C00A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55600E7A"/>
    <w:multiLevelType w:val="hybridMultilevel"/>
    <w:tmpl w:val="1E585CA4"/>
    <w:lvl w:ilvl="0" w:tplc="0409000F">
      <w:start w:val="1"/>
      <w:numFmt w:val="decimal"/>
      <w:lvlText w:val="%1."/>
      <w:lvlJc w:val="left"/>
      <w:pPr>
        <w:ind w:left="720" w:hanging="360"/>
      </w:pPr>
    </w:lvl>
    <w:lvl w:ilvl="1" w:tplc="04090001">
      <w:start w:val="1"/>
      <w:numFmt w:val="bullet"/>
      <w:lvlText w:val=""/>
      <w:lvlJc w:val="left"/>
      <w:pPr>
        <w:ind w:left="720" w:hanging="360"/>
      </w:pPr>
      <w:rPr>
        <w:rFonts w:hint="default" w:ascii="Symbol" w:hAnsi="Symbol"/>
      </w:rPr>
    </w:lvl>
    <w:lvl w:ilvl="2" w:tplc="04090003">
      <w:start w:val="1"/>
      <w:numFmt w:val="bullet"/>
      <w:lvlText w:val="o"/>
      <w:lvlJc w:val="left"/>
      <w:pPr>
        <w:ind w:left="1777" w:hanging="360"/>
      </w:pPr>
      <w:rPr>
        <w:rFonts w:hint="default" w:ascii="Courier New" w:hAnsi="Courier New"/>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D15B35"/>
    <w:multiLevelType w:val="hybridMultilevel"/>
    <w:tmpl w:val="B1801C00"/>
    <w:lvl w:ilvl="0" w:tplc="04090003">
      <w:start w:val="1"/>
      <w:numFmt w:val="bullet"/>
      <w:lvlText w:val="o"/>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Symbol" w:hAnsi="Symbol"/>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Symbol" w:hAnsi="Symbol"/>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Symbol" w:hAnsi="Symbol"/>
      </w:rPr>
    </w:lvl>
  </w:abstractNum>
  <w:abstractNum w:abstractNumId="18" w15:restartNumberingAfterBreak="0">
    <w:nsid w:val="5E6353A4"/>
    <w:multiLevelType w:val="hybridMultilevel"/>
    <w:tmpl w:val="07F6D48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E97065"/>
    <w:multiLevelType w:val="hybridMultilevel"/>
    <w:tmpl w:val="613E06E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D773B1C"/>
    <w:multiLevelType w:val="hybridMultilevel"/>
    <w:tmpl w:val="AC7C957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6FC107B0"/>
    <w:multiLevelType w:val="hybridMultilevel"/>
    <w:tmpl w:val="3404F3D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B2A4514"/>
    <w:multiLevelType w:val="hybridMultilevel"/>
    <w:tmpl w:val="A642B4C8"/>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4"/>
  </w:num>
  <w:num w:numId="4">
    <w:abstractNumId w:val="23"/>
  </w:num>
  <w:num w:numId="5">
    <w:abstractNumId w:val="8"/>
  </w:num>
  <w:num w:numId="6">
    <w:abstractNumId w:val="19"/>
  </w:num>
  <w:num w:numId="7">
    <w:abstractNumId w:val="14"/>
  </w:num>
  <w:num w:numId="8">
    <w:abstractNumId w:val="3"/>
  </w:num>
  <w:num w:numId="9">
    <w:abstractNumId w:val="18"/>
  </w:num>
  <w:num w:numId="10">
    <w:abstractNumId w:val="20"/>
  </w:num>
  <w:num w:numId="11">
    <w:abstractNumId w:val="6"/>
  </w:num>
  <w:num w:numId="12">
    <w:abstractNumId w:val="2"/>
  </w:num>
  <w:num w:numId="13">
    <w:abstractNumId w:val="21"/>
  </w:num>
  <w:num w:numId="14">
    <w:abstractNumId w:val="12"/>
  </w:num>
  <w:num w:numId="15">
    <w:abstractNumId w:val="16"/>
  </w:num>
  <w:num w:numId="16">
    <w:abstractNumId w:val="5"/>
  </w:num>
  <w:num w:numId="17">
    <w:abstractNumId w:val="15"/>
  </w:num>
  <w:num w:numId="18">
    <w:abstractNumId w:val="0"/>
  </w:num>
  <w:num w:numId="19">
    <w:abstractNumId w:val="17"/>
  </w:num>
  <w:num w:numId="20">
    <w:abstractNumId w:val="1"/>
  </w:num>
  <w:num w:numId="21">
    <w:abstractNumId w:val="22"/>
  </w:num>
  <w:num w:numId="22">
    <w:abstractNumId w:val="9"/>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158"/>
    <w:rsid w:val="00001014"/>
    <w:rsid w:val="000034C1"/>
    <w:rsid w:val="00011D71"/>
    <w:rsid w:val="0001289B"/>
    <w:rsid w:val="00012BFE"/>
    <w:rsid w:val="0001519E"/>
    <w:rsid w:val="00022B17"/>
    <w:rsid w:val="00025716"/>
    <w:rsid w:val="00033951"/>
    <w:rsid w:val="00036301"/>
    <w:rsid w:val="000418ED"/>
    <w:rsid w:val="00041A65"/>
    <w:rsid w:val="00050997"/>
    <w:rsid w:val="00056FDA"/>
    <w:rsid w:val="00061E8A"/>
    <w:rsid w:val="00062C1C"/>
    <w:rsid w:val="0006684F"/>
    <w:rsid w:val="00067196"/>
    <w:rsid w:val="000673F8"/>
    <w:rsid w:val="00082011"/>
    <w:rsid w:val="00087B42"/>
    <w:rsid w:val="0009006D"/>
    <w:rsid w:val="000A1FD1"/>
    <w:rsid w:val="000A5B51"/>
    <w:rsid w:val="000A7EA9"/>
    <w:rsid w:val="000B161C"/>
    <w:rsid w:val="000B47A3"/>
    <w:rsid w:val="000B4EAA"/>
    <w:rsid w:val="000C681F"/>
    <w:rsid w:val="000C7076"/>
    <w:rsid w:val="000D18AF"/>
    <w:rsid w:val="000D3CB3"/>
    <w:rsid w:val="000D459D"/>
    <w:rsid w:val="000D677B"/>
    <w:rsid w:val="000D7537"/>
    <w:rsid w:val="000E2813"/>
    <w:rsid w:val="000E73B2"/>
    <w:rsid w:val="000F0513"/>
    <w:rsid w:val="000F1BD0"/>
    <w:rsid w:val="000F1D4C"/>
    <w:rsid w:val="000F4B67"/>
    <w:rsid w:val="000F7693"/>
    <w:rsid w:val="00102D37"/>
    <w:rsid w:val="00106158"/>
    <w:rsid w:val="001116BE"/>
    <w:rsid w:val="00113195"/>
    <w:rsid w:val="00114737"/>
    <w:rsid w:val="00122DF5"/>
    <w:rsid w:val="00132128"/>
    <w:rsid w:val="00135FBE"/>
    <w:rsid w:val="001410A4"/>
    <w:rsid w:val="00141530"/>
    <w:rsid w:val="0014219F"/>
    <w:rsid w:val="001505EA"/>
    <w:rsid w:val="0016174F"/>
    <w:rsid w:val="00164D0C"/>
    <w:rsid w:val="001671A4"/>
    <w:rsid w:val="001711FB"/>
    <w:rsid w:val="00173975"/>
    <w:rsid w:val="00175636"/>
    <w:rsid w:val="001815CE"/>
    <w:rsid w:val="00184224"/>
    <w:rsid w:val="00190D2B"/>
    <w:rsid w:val="00192A64"/>
    <w:rsid w:val="0019309F"/>
    <w:rsid w:val="001937B0"/>
    <w:rsid w:val="001A3DCB"/>
    <w:rsid w:val="001A79B2"/>
    <w:rsid w:val="001B0597"/>
    <w:rsid w:val="001C03BE"/>
    <w:rsid w:val="001C17D1"/>
    <w:rsid w:val="001C3B6E"/>
    <w:rsid w:val="001C4EDD"/>
    <w:rsid w:val="001C638F"/>
    <w:rsid w:val="001C64EF"/>
    <w:rsid w:val="001D055B"/>
    <w:rsid w:val="001D5415"/>
    <w:rsid w:val="001D6E3D"/>
    <w:rsid w:val="001D718C"/>
    <w:rsid w:val="001E0905"/>
    <w:rsid w:val="001E18E4"/>
    <w:rsid w:val="001E23A7"/>
    <w:rsid w:val="001E752F"/>
    <w:rsid w:val="001E7FF2"/>
    <w:rsid w:val="001F4C71"/>
    <w:rsid w:val="00202BB4"/>
    <w:rsid w:val="00206B18"/>
    <w:rsid w:val="002107D4"/>
    <w:rsid w:val="00211DB4"/>
    <w:rsid w:val="00215ABA"/>
    <w:rsid w:val="00216061"/>
    <w:rsid w:val="002218C1"/>
    <w:rsid w:val="00223E3E"/>
    <w:rsid w:val="00224356"/>
    <w:rsid w:val="00224850"/>
    <w:rsid w:val="00231611"/>
    <w:rsid w:val="002346AD"/>
    <w:rsid w:val="002414C2"/>
    <w:rsid w:val="00244BE9"/>
    <w:rsid w:val="00247847"/>
    <w:rsid w:val="00255719"/>
    <w:rsid w:val="0025671B"/>
    <w:rsid w:val="00260D50"/>
    <w:rsid w:val="002634B4"/>
    <w:rsid w:val="00270B9F"/>
    <w:rsid w:val="00273121"/>
    <w:rsid w:val="00274D92"/>
    <w:rsid w:val="00285546"/>
    <w:rsid w:val="00285EB5"/>
    <w:rsid w:val="002862AA"/>
    <w:rsid w:val="00286734"/>
    <w:rsid w:val="0028785D"/>
    <w:rsid w:val="00292524"/>
    <w:rsid w:val="00292F07"/>
    <w:rsid w:val="002950E2"/>
    <w:rsid w:val="002A1919"/>
    <w:rsid w:val="002A1AEF"/>
    <w:rsid w:val="002A3296"/>
    <w:rsid w:val="002A41B2"/>
    <w:rsid w:val="002A49A2"/>
    <w:rsid w:val="002A60C7"/>
    <w:rsid w:val="002B00A0"/>
    <w:rsid w:val="002B0D60"/>
    <w:rsid w:val="002B6750"/>
    <w:rsid w:val="002C008E"/>
    <w:rsid w:val="002C16E2"/>
    <w:rsid w:val="002C237F"/>
    <w:rsid w:val="002C321F"/>
    <w:rsid w:val="002C5F59"/>
    <w:rsid w:val="002C6D9D"/>
    <w:rsid w:val="002D1D87"/>
    <w:rsid w:val="002E38A0"/>
    <w:rsid w:val="002F056D"/>
    <w:rsid w:val="002F0B5E"/>
    <w:rsid w:val="002F0F3E"/>
    <w:rsid w:val="002F323D"/>
    <w:rsid w:val="002F651F"/>
    <w:rsid w:val="003003DC"/>
    <w:rsid w:val="00303371"/>
    <w:rsid w:val="003040F4"/>
    <w:rsid w:val="00307D01"/>
    <w:rsid w:val="00321B19"/>
    <w:rsid w:val="00324300"/>
    <w:rsid w:val="00324F1B"/>
    <w:rsid w:val="00335FBF"/>
    <w:rsid w:val="00337728"/>
    <w:rsid w:val="00340288"/>
    <w:rsid w:val="00342D7E"/>
    <w:rsid w:val="0034437D"/>
    <w:rsid w:val="0034666C"/>
    <w:rsid w:val="0035024E"/>
    <w:rsid w:val="00350F5F"/>
    <w:rsid w:val="00355834"/>
    <w:rsid w:val="003723E1"/>
    <w:rsid w:val="00372DEB"/>
    <w:rsid w:val="0037509F"/>
    <w:rsid w:val="003800E2"/>
    <w:rsid w:val="003806EF"/>
    <w:rsid w:val="00380DD2"/>
    <w:rsid w:val="003814DE"/>
    <w:rsid w:val="0038181B"/>
    <w:rsid w:val="00382596"/>
    <w:rsid w:val="00382667"/>
    <w:rsid w:val="00383CEC"/>
    <w:rsid w:val="00393660"/>
    <w:rsid w:val="003938B5"/>
    <w:rsid w:val="003A0DB7"/>
    <w:rsid w:val="003A5AA5"/>
    <w:rsid w:val="003B2AF3"/>
    <w:rsid w:val="003B6381"/>
    <w:rsid w:val="003B7079"/>
    <w:rsid w:val="003C094B"/>
    <w:rsid w:val="003C77EC"/>
    <w:rsid w:val="003D5295"/>
    <w:rsid w:val="003D5400"/>
    <w:rsid w:val="003E1CED"/>
    <w:rsid w:val="003E6625"/>
    <w:rsid w:val="003F2478"/>
    <w:rsid w:val="003F2F47"/>
    <w:rsid w:val="003F5E97"/>
    <w:rsid w:val="00400276"/>
    <w:rsid w:val="0040071B"/>
    <w:rsid w:val="0040124B"/>
    <w:rsid w:val="0040225F"/>
    <w:rsid w:val="00406B0E"/>
    <w:rsid w:val="004123F5"/>
    <w:rsid w:val="00414ADA"/>
    <w:rsid w:val="004259DB"/>
    <w:rsid w:val="00426D43"/>
    <w:rsid w:val="00431084"/>
    <w:rsid w:val="004332F4"/>
    <w:rsid w:val="00435EEA"/>
    <w:rsid w:val="0043631D"/>
    <w:rsid w:val="00445040"/>
    <w:rsid w:val="00445746"/>
    <w:rsid w:val="00446BF3"/>
    <w:rsid w:val="004509C3"/>
    <w:rsid w:val="00471001"/>
    <w:rsid w:val="00472E55"/>
    <w:rsid w:val="00477380"/>
    <w:rsid w:val="00482F57"/>
    <w:rsid w:val="004879D9"/>
    <w:rsid w:val="00490550"/>
    <w:rsid w:val="004A0BC5"/>
    <w:rsid w:val="004B06EC"/>
    <w:rsid w:val="004B371A"/>
    <w:rsid w:val="004C0F5D"/>
    <w:rsid w:val="004C2B22"/>
    <w:rsid w:val="004C740D"/>
    <w:rsid w:val="004D291C"/>
    <w:rsid w:val="004D3424"/>
    <w:rsid w:val="004D3EB2"/>
    <w:rsid w:val="004D406B"/>
    <w:rsid w:val="004D47FF"/>
    <w:rsid w:val="004D69A2"/>
    <w:rsid w:val="004E08CB"/>
    <w:rsid w:val="004E1B6E"/>
    <w:rsid w:val="004F0211"/>
    <w:rsid w:val="004F5C2E"/>
    <w:rsid w:val="005007E0"/>
    <w:rsid w:val="0050222D"/>
    <w:rsid w:val="005047C0"/>
    <w:rsid w:val="0050525A"/>
    <w:rsid w:val="00505DDE"/>
    <w:rsid w:val="00516DF4"/>
    <w:rsid w:val="005178D8"/>
    <w:rsid w:val="00523A5E"/>
    <w:rsid w:val="00523CAA"/>
    <w:rsid w:val="0052690D"/>
    <w:rsid w:val="00527DB5"/>
    <w:rsid w:val="00532059"/>
    <w:rsid w:val="00543561"/>
    <w:rsid w:val="00543F93"/>
    <w:rsid w:val="00546C3A"/>
    <w:rsid w:val="00551731"/>
    <w:rsid w:val="00551C0B"/>
    <w:rsid w:val="00554EAC"/>
    <w:rsid w:val="00561F4A"/>
    <w:rsid w:val="00582ED7"/>
    <w:rsid w:val="005865BF"/>
    <w:rsid w:val="0059003F"/>
    <w:rsid w:val="0059094F"/>
    <w:rsid w:val="005946FD"/>
    <w:rsid w:val="00595E99"/>
    <w:rsid w:val="0059724D"/>
    <w:rsid w:val="005A05CD"/>
    <w:rsid w:val="005A2FE4"/>
    <w:rsid w:val="005B34CE"/>
    <w:rsid w:val="005B55AF"/>
    <w:rsid w:val="005B7F3A"/>
    <w:rsid w:val="005D6B37"/>
    <w:rsid w:val="005D7227"/>
    <w:rsid w:val="005E04B4"/>
    <w:rsid w:val="005E09B2"/>
    <w:rsid w:val="005E195A"/>
    <w:rsid w:val="005E31CF"/>
    <w:rsid w:val="005E63D3"/>
    <w:rsid w:val="005E67DB"/>
    <w:rsid w:val="005F33BA"/>
    <w:rsid w:val="005F74BA"/>
    <w:rsid w:val="006071F7"/>
    <w:rsid w:val="00611F56"/>
    <w:rsid w:val="00621488"/>
    <w:rsid w:val="00621E3F"/>
    <w:rsid w:val="00624B6F"/>
    <w:rsid w:val="00625624"/>
    <w:rsid w:val="00626408"/>
    <w:rsid w:val="006328B5"/>
    <w:rsid w:val="00636382"/>
    <w:rsid w:val="00637199"/>
    <w:rsid w:val="00640ACE"/>
    <w:rsid w:val="0064119E"/>
    <w:rsid w:val="00641236"/>
    <w:rsid w:val="00641380"/>
    <w:rsid w:val="00646F54"/>
    <w:rsid w:val="006516CC"/>
    <w:rsid w:val="00651C60"/>
    <w:rsid w:val="006526F4"/>
    <w:rsid w:val="00652EB7"/>
    <w:rsid w:val="00657C4E"/>
    <w:rsid w:val="0067419C"/>
    <w:rsid w:val="0067554B"/>
    <w:rsid w:val="00680B1B"/>
    <w:rsid w:val="0068446F"/>
    <w:rsid w:val="00687737"/>
    <w:rsid w:val="00687C6D"/>
    <w:rsid w:val="006926BE"/>
    <w:rsid w:val="00695C0F"/>
    <w:rsid w:val="006A0B0D"/>
    <w:rsid w:val="006A3B2D"/>
    <w:rsid w:val="006A6A2D"/>
    <w:rsid w:val="006B04E3"/>
    <w:rsid w:val="006B3F8D"/>
    <w:rsid w:val="006B74FC"/>
    <w:rsid w:val="006C234A"/>
    <w:rsid w:val="006D2EEA"/>
    <w:rsid w:val="006D341B"/>
    <w:rsid w:val="006E1179"/>
    <w:rsid w:val="006E1F48"/>
    <w:rsid w:val="006E4032"/>
    <w:rsid w:val="006E71BC"/>
    <w:rsid w:val="006F3929"/>
    <w:rsid w:val="00701291"/>
    <w:rsid w:val="00705291"/>
    <w:rsid w:val="00705B23"/>
    <w:rsid w:val="007076E7"/>
    <w:rsid w:val="00715B06"/>
    <w:rsid w:val="007170A6"/>
    <w:rsid w:val="00720817"/>
    <w:rsid w:val="007236C3"/>
    <w:rsid w:val="00726FCA"/>
    <w:rsid w:val="007331EE"/>
    <w:rsid w:val="00744B91"/>
    <w:rsid w:val="00745B7E"/>
    <w:rsid w:val="00746ECB"/>
    <w:rsid w:val="00747885"/>
    <w:rsid w:val="00756BB3"/>
    <w:rsid w:val="0076300F"/>
    <w:rsid w:val="00763AB5"/>
    <w:rsid w:val="007647D9"/>
    <w:rsid w:val="007660A7"/>
    <w:rsid w:val="0076748A"/>
    <w:rsid w:val="00770AC4"/>
    <w:rsid w:val="00792D15"/>
    <w:rsid w:val="00795BD7"/>
    <w:rsid w:val="007A01AE"/>
    <w:rsid w:val="007A2463"/>
    <w:rsid w:val="007A3717"/>
    <w:rsid w:val="007B2120"/>
    <w:rsid w:val="007B29E1"/>
    <w:rsid w:val="007B3380"/>
    <w:rsid w:val="007B483E"/>
    <w:rsid w:val="007C5C9C"/>
    <w:rsid w:val="007E215C"/>
    <w:rsid w:val="007E7FAD"/>
    <w:rsid w:val="00805B7F"/>
    <w:rsid w:val="008079FE"/>
    <w:rsid w:val="008114E3"/>
    <w:rsid w:val="0082194F"/>
    <w:rsid w:val="00834373"/>
    <w:rsid w:val="00835CF0"/>
    <w:rsid w:val="00836307"/>
    <w:rsid w:val="00836822"/>
    <w:rsid w:val="0084593E"/>
    <w:rsid w:val="0085165F"/>
    <w:rsid w:val="0086095D"/>
    <w:rsid w:val="00861788"/>
    <w:rsid w:val="00866D81"/>
    <w:rsid w:val="00870BF1"/>
    <w:rsid w:val="0087725E"/>
    <w:rsid w:val="008828EB"/>
    <w:rsid w:val="008848F7"/>
    <w:rsid w:val="008978D3"/>
    <w:rsid w:val="008A4FDE"/>
    <w:rsid w:val="008A52AB"/>
    <w:rsid w:val="008B33A8"/>
    <w:rsid w:val="008B3D3E"/>
    <w:rsid w:val="008B52AE"/>
    <w:rsid w:val="008B7D8E"/>
    <w:rsid w:val="008C2E4B"/>
    <w:rsid w:val="008D3998"/>
    <w:rsid w:val="008D46B8"/>
    <w:rsid w:val="008D7384"/>
    <w:rsid w:val="008E0417"/>
    <w:rsid w:val="008E7343"/>
    <w:rsid w:val="008F1001"/>
    <w:rsid w:val="008F16D5"/>
    <w:rsid w:val="00900699"/>
    <w:rsid w:val="00903262"/>
    <w:rsid w:val="00903368"/>
    <w:rsid w:val="00905C7E"/>
    <w:rsid w:val="009063A8"/>
    <w:rsid w:val="0090749B"/>
    <w:rsid w:val="00911016"/>
    <w:rsid w:val="00912DDE"/>
    <w:rsid w:val="009142EB"/>
    <w:rsid w:val="0091595B"/>
    <w:rsid w:val="00920741"/>
    <w:rsid w:val="0092263E"/>
    <w:rsid w:val="00926FC2"/>
    <w:rsid w:val="00932773"/>
    <w:rsid w:val="00934212"/>
    <w:rsid w:val="00937122"/>
    <w:rsid w:val="009414BA"/>
    <w:rsid w:val="009417EF"/>
    <w:rsid w:val="00942936"/>
    <w:rsid w:val="0094504A"/>
    <w:rsid w:val="009578F1"/>
    <w:rsid w:val="009635F7"/>
    <w:rsid w:val="00966052"/>
    <w:rsid w:val="00966973"/>
    <w:rsid w:val="00967AC4"/>
    <w:rsid w:val="009779B4"/>
    <w:rsid w:val="00981CD9"/>
    <w:rsid w:val="00992A75"/>
    <w:rsid w:val="0099365F"/>
    <w:rsid w:val="009A5E0F"/>
    <w:rsid w:val="009A64CA"/>
    <w:rsid w:val="009A66E3"/>
    <w:rsid w:val="009B3B33"/>
    <w:rsid w:val="009C1D0A"/>
    <w:rsid w:val="009C3255"/>
    <w:rsid w:val="009C58C7"/>
    <w:rsid w:val="009C7903"/>
    <w:rsid w:val="009D2CCC"/>
    <w:rsid w:val="009D4FCA"/>
    <w:rsid w:val="009D7A23"/>
    <w:rsid w:val="009E25F8"/>
    <w:rsid w:val="009E34E8"/>
    <w:rsid w:val="009E4483"/>
    <w:rsid w:val="009E62ED"/>
    <w:rsid w:val="009F1D87"/>
    <w:rsid w:val="009F2EA0"/>
    <w:rsid w:val="009F498C"/>
    <w:rsid w:val="009F5304"/>
    <w:rsid w:val="009F60BB"/>
    <w:rsid w:val="00A022D9"/>
    <w:rsid w:val="00A070B7"/>
    <w:rsid w:val="00A128B6"/>
    <w:rsid w:val="00A21626"/>
    <w:rsid w:val="00A241A2"/>
    <w:rsid w:val="00A25D2F"/>
    <w:rsid w:val="00A26CC0"/>
    <w:rsid w:val="00A340A7"/>
    <w:rsid w:val="00A347E7"/>
    <w:rsid w:val="00A35059"/>
    <w:rsid w:val="00A42F74"/>
    <w:rsid w:val="00A455D1"/>
    <w:rsid w:val="00A4583A"/>
    <w:rsid w:val="00A52FE0"/>
    <w:rsid w:val="00A5481F"/>
    <w:rsid w:val="00A54BD9"/>
    <w:rsid w:val="00A560FA"/>
    <w:rsid w:val="00A568A6"/>
    <w:rsid w:val="00A60490"/>
    <w:rsid w:val="00A605BB"/>
    <w:rsid w:val="00A62166"/>
    <w:rsid w:val="00A63FD5"/>
    <w:rsid w:val="00A64477"/>
    <w:rsid w:val="00A700FC"/>
    <w:rsid w:val="00A702F0"/>
    <w:rsid w:val="00A72DED"/>
    <w:rsid w:val="00A763EC"/>
    <w:rsid w:val="00A827B8"/>
    <w:rsid w:val="00A8443E"/>
    <w:rsid w:val="00A86B41"/>
    <w:rsid w:val="00A87968"/>
    <w:rsid w:val="00A92485"/>
    <w:rsid w:val="00A92FB4"/>
    <w:rsid w:val="00AA0CFB"/>
    <w:rsid w:val="00AA784E"/>
    <w:rsid w:val="00AA7FBE"/>
    <w:rsid w:val="00AB17AC"/>
    <w:rsid w:val="00AB4F5E"/>
    <w:rsid w:val="00AC2BBB"/>
    <w:rsid w:val="00AC41F4"/>
    <w:rsid w:val="00AC5113"/>
    <w:rsid w:val="00AC5624"/>
    <w:rsid w:val="00AD32AE"/>
    <w:rsid w:val="00AD503E"/>
    <w:rsid w:val="00AD6080"/>
    <w:rsid w:val="00AD63CB"/>
    <w:rsid w:val="00AE0E1B"/>
    <w:rsid w:val="00AE1389"/>
    <w:rsid w:val="00AE465D"/>
    <w:rsid w:val="00AE6D29"/>
    <w:rsid w:val="00AF0686"/>
    <w:rsid w:val="00AF2A11"/>
    <w:rsid w:val="00AF7C13"/>
    <w:rsid w:val="00B01CAA"/>
    <w:rsid w:val="00B02543"/>
    <w:rsid w:val="00B0524B"/>
    <w:rsid w:val="00B062B6"/>
    <w:rsid w:val="00B110B2"/>
    <w:rsid w:val="00B14C29"/>
    <w:rsid w:val="00B15FFC"/>
    <w:rsid w:val="00B1757D"/>
    <w:rsid w:val="00B21BE3"/>
    <w:rsid w:val="00B277EE"/>
    <w:rsid w:val="00B279AD"/>
    <w:rsid w:val="00B32159"/>
    <w:rsid w:val="00B3721D"/>
    <w:rsid w:val="00B37F94"/>
    <w:rsid w:val="00B47B47"/>
    <w:rsid w:val="00B533B5"/>
    <w:rsid w:val="00B5756E"/>
    <w:rsid w:val="00B610F1"/>
    <w:rsid w:val="00B61F28"/>
    <w:rsid w:val="00B642A7"/>
    <w:rsid w:val="00B6598B"/>
    <w:rsid w:val="00B67370"/>
    <w:rsid w:val="00B72726"/>
    <w:rsid w:val="00B74790"/>
    <w:rsid w:val="00B75805"/>
    <w:rsid w:val="00B76F99"/>
    <w:rsid w:val="00B828DA"/>
    <w:rsid w:val="00B91D90"/>
    <w:rsid w:val="00B91E6E"/>
    <w:rsid w:val="00B94A43"/>
    <w:rsid w:val="00BA5F3F"/>
    <w:rsid w:val="00BB2951"/>
    <w:rsid w:val="00BB45F8"/>
    <w:rsid w:val="00BB5487"/>
    <w:rsid w:val="00BC0A5B"/>
    <w:rsid w:val="00BC2258"/>
    <w:rsid w:val="00BC32A6"/>
    <w:rsid w:val="00BC34B7"/>
    <w:rsid w:val="00BC4444"/>
    <w:rsid w:val="00BC4A2A"/>
    <w:rsid w:val="00BD5800"/>
    <w:rsid w:val="00BD7869"/>
    <w:rsid w:val="00BE1135"/>
    <w:rsid w:val="00BE53A9"/>
    <w:rsid w:val="00BE7772"/>
    <w:rsid w:val="00BF4649"/>
    <w:rsid w:val="00C019C6"/>
    <w:rsid w:val="00C0212E"/>
    <w:rsid w:val="00C04C2E"/>
    <w:rsid w:val="00C05D6A"/>
    <w:rsid w:val="00C11925"/>
    <w:rsid w:val="00C2164C"/>
    <w:rsid w:val="00C37500"/>
    <w:rsid w:val="00C465B7"/>
    <w:rsid w:val="00C4710F"/>
    <w:rsid w:val="00C536E9"/>
    <w:rsid w:val="00C60B90"/>
    <w:rsid w:val="00C62304"/>
    <w:rsid w:val="00C62C6A"/>
    <w:rsid w:val="00C64218"/>
    <w:rsid w:val="00C64C13"/>
    <w:rsid w:val="00C66E52"/>
    <w:rsid w:val="00C67218"/>
    <w:rsid w:val="00C72CEA"/>
    <w:rsid w:val="00C80FE9"/>
    <w:rsid w:val="00C8679F"/>
    <w:rsid w:val="00C87A95"/>
    <w:rsid w:val="00C91FDE"/>
    <w:rsid w:val="00C930E7"/>
    <w:rsid w:val="00CA02A9"/>
    <w:rsid w:val="00CA7ED8"/>
    <w:rsid w:val="00CB7B7D"/>
    <w:rsid w:val="00CC2454"/>
    <w:rsid w:val="00CC2DC5"/>
    <w:rsid w:val="00CC3762"/>
    <w:rsid w:val="00CC4A06"/>
    <w:rsid w:val="00CD5E03"/>
    <w:rsid w:val="00CD6D7E"/>
    <w:rsid w:val="00CE1BA0"/>
    <w:rsid w:val="00CE24DE"/>
    <w:rsid w:val="00CF1E80"/>
    <w:rsid w:val="00CF510E"/>
    <w:rsid w:val="00CF5A8D"/>
    <w:rsid w:val="00CF5A97"/>
    <w:rsid w:val="00CF65CF"/>
    <w:rsid w:val="00D04051"/>
    <w:rsid w:val="00D04DF9"/>
    <w:rsid w:val="00D07C63"/>
    <w:rsid w:val="00D11B9B"/>
    <w:rsid w:val="00D22E82"/>
    <w:rsid w:val="00D246AE"/>
    <w:rsid w:val="00D24B2A"/>
    <w:rsid w:val="00D2746E"/>
    <w:rsid w:val="00D352C7"/>
    <w:rsid w:val="00D37E7A"/>
    <w:rsid w:val="00D405B4"/>
    <w:rsid w:val="00D42C01"/>
    <w:rsid w:val="00D51B8A"/>
    <w:rsid w:val="00D51EE4"/>
    <w:rsid w:val="00D520FB"/>
    <w:rsid w:val="00D549C9"/>
    <w:rsid w:val="00D56AEB"/>
    <w:rsid w:val="00D6480D"/>
    <w:rsid w:val="00D65F9A"/>
    <w:rsid w:val="00D67652"/>
    <w:rsid w:val="00D705E1"/>
    <w:rsid w:val="00D70AED"/>
    <w:rsid w:val="00D72E6A"/>
    <w:rsid w:val="00D740D5"/>
    <w:rsid w:val="00D8049C"/>
    <w:rsid w:val="00D8182F"/>
    <w:rsid w:val="00D827A3"/>
    <w:rsid w:val="00D900C5"/>
    <w:rsid w:val="00D91701"/>
    <w:rsid w:val="00D918E0"/>
    <w:rsid w:val="00D93679"/>
    <w:rsid w:val="00D978E0"/>
    <w:rsid w:val="00D97D4E"/>
    <w:rsid w:val="00DA085C"/>
    <w:rsid w:val="00DA2906"/>
    <w:rsid w:val="00DB2A4A"/>
    <w:rsid w:val="00DB3C1F"/>
    <w:rsid w:val="00DC01A2"/>
    <w:rsid w:val="00DC0DD1"/>
    <w:rsid w:val="00DC18BF"/>
    <w:rsid w:val="00DC1D71"/>
    <w:rsid w:val="00DC2876"/>
    <w:rsid w:val="00DC2F8D"/>
    <w:rsid w:val="00DC3F35"/>
    <w:rsid w:val="00DC63BE"/>
    <w:rsid w:val="00DC667C"/>
    <w:rsid w:val="00DC76C2"/>
    <w:rsid w:val="00DD31F0"/>
    <w:rsid w:val="00DD3D29"/>
    <w:rsid w:val="00DD4DB8"/>
    <w:rsid w:val="00DD723C"/>
    <w:rsid w:val="00DE3A4E"/>
    <w:rsid w:val="00DE6FBD"/>
    <w:rsid w:val="00DF1AFE"/>
    <w:rsid w:val="00E0743E"/>
    <w:rsid w:val="00E07745"/>
    <w:rsid w:val="00E07F4B"/>
    <w:rsid w:val="00E1190C"/>
    <w:rsid w:val="00E1493A"/>
    <w:rsid w:val="00E16923"/>
    <w:rsid w:val="00E2064B"/>
    <w:rsid w:val="00E210F8"/>
    <w:rsid w:val="00E24017"/>
    <w:rsid w:val="00E25FA3"/>
    <w:rsid w:val="00E31158"/>
    <w:rsid w:val="00E32C29"/>
    <w:rsid w:val="00E35BC4"/>
    <w:rsid w:val="00E37EEB"/>
    <w:rsid w:val="00E401DF"/>
    <w:rsid w:val="00E42D48"/>
    <w:rsid w:val="00E4349C"/>
    <w:rsid w:val="00E43A5A"/>
    <w:rsid w:val="00E55321"/>
    <w:rsid w:val="00E61E45"/>
    <w:rsid w:val="00E63CB5"/>
    <w:rsid w:val="00E640BA"/>
    <w:rsid w:val="00E649EA"/>
    <w:rsid w:val="00E70F9B"/>
    <w:rsid w:val="00E7364D"/>
    <w:rsid w:val="00E7638E"/>
    <w:rsid w:val="00E7654C"/>
    <w:rsid w:val="00E8107A"/>
    <w:rsid w:val="00E84889"/>
    <w:rsid w:val="00E877FD"/>
    <w:rsid w:val="00E91A21"/>
    <w:rsid w:val="00E91ADF"/>
    <w:rsid w:val="00E928AF"/>
    <w:rsid w:val="00E93E7A"/>
    <w:rsid w:val="00E9634C"/>
    <w:rsid w:val="00EA199A"/>
    <w:rsid w:val="00EA2818"/>
    <w:rsid w:val="00EA39E3"/>
    <w:rsid w:val="00EB368D"/>
    <w:rsid w:val="00EB3AC1"/>
    <w:rsid w:val="00EC0053"/>
    <w:rsid w:val="00EC7153"/>
    <w:rsid w:val="00EF09DB"/>
    <w:rsid w:val="00EF2887"/>
    <w:rsid w:val="00F02EAA"/>
    <w:rsid w:val="00F054DA"/>
    <w:rsid w:val="00F06260"/>
    <w:rsid w:val="00F06321"/>
    <w:rsid w:val="00F12014"/>
    <w:rsid w:val="00F13C77"/>
    <w:rsid w:val="00F14B75"/>
    <w:rsid w:val="00F161F4"/>
    <w:rsid w:val="00F16F23"/>
    <w:rsid w:val="00F20F8F"/>
    <w:rsid w:val="00F228EA"/>
    <w:rsid w:val="00F2375B"/>
    <w:rsid w:val="00F2689B"/>
    <w:rsid w:val="00F302D4"/>
    <w:rsid w:val="00F3059B"/>
    <w:rsid w:val="00F32AC3"/>
    <w:rsid w:val="00F37F62"/>
    <w:rsid w:val="00F60E57"/>
    <w:rsid w:val="00F64AAB"/>
    <w:rsid w:val="00F67BC5"/>
    <w:rsid w:val="00F70BF3"/>
    <w:rsid w:val="00F7176C"/>
    <w:rsid w:val="00F7185B"/>
    <w:rsid w:val="00F75189"/>
    <w:rsid w:val="00F80611"/>
    <w:rsid w:val="00F84055"/>
    <w:rsid w:val="00F849D4"/>
    <w:rsid w:val="00F87643"/>
    <w:rsid w:val="00F87CC0"/>
    <w:rsid w:val="00FA1DCA"/>
    <w:rsid w:val="00FA36C1"/>
    <w:rsid w:val="00FB0C08"/>
    <w:rsid w:val="00FB28E2"/>
    <w:rsid w:val="00FB4CC1"/>
    <w:rsid w:val="00FC3641"/>
    <w:rsid w:val="00FC5DE0"/>
    <w:rsid w:val="00FC6A10"/>
    <w:rsid w:val="00FD5A1F"/>
    <w:rsid w:val="00FD7DBF"/>
    <w:rsid w:val="00FE1932"/>
    <w:rsid w:val="00FE45E0"/>
    <w:rsid w:val="00FE7AA6"/>
    <w:rsid w:val="00FF2374"/>
    <w:rsid w:val="00FF3497"/>
    <w:rsid w:val="00FF5D1F"/>
    <w:rsid w:val="00FF68DA"/>
    <w:rsid w:val="04C5A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A0B0D"/>
    <w:pPr>
      <w:ind w:left="720"/>
      <w:contextualSpacing/>
    </w:pPr>
  </w:style>
  <w:style w:type="table" w:styleId="TableGrid">
    <w:name w:val="Table Grid"/>
    <w:basedOn w:val="TableNormal"/>
    <w:uiPriority w:val="39"/>
    <w:rsid w:val="00286734"/>
    <w:pPr>
      <w:spacing w:after="0" w:line="240" w:lineRule="auto"/>
    </w:pPr>
    <w:rPr>
      <w:sz w:val="24"/>
      <w:szCs w:val="24"/>
      <w:lang w:val="fr-C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7076E7"/>
    <w:rPr>
      <w:color w:val="0563C1" w:themeColor="hyperlink"/>
      <w:u w:val="single"/>
    </w:rPr>
  </w:style>
  <w:style w:type="character" w:styleId="CommentReference">
    <w:name w:val="annotation reference"/>
    <w:basedOn w:val="DefaultParagraphFont"/>
    <w:uiPriority w:val="99"/>
    <w:semiHidden/>
    <w:unhideWhenUsed/>
    <w:rsid w:val="001A79B2"/>
    <w:rPr>
      <w:sz w:val="18"/>
      <w:szCs w:val="18"/>
    </w:rPr>
  </w:style>
  <w:style w:type="paragraph" w:styleId="CommentText">
    <w:name w:val="annotation text"/>
    <w:basedOn w:val="Normal"/>
    <w:link w:val="CommentTextChar"/>
    <w:uiPriority w:val="99"/>
    <w:unhideWhenUsed/>
    <w:rsid w:val="001A79B2"/>
    <w:pPr>
      <w:spacing w:line="240" w:lineRule="auto"/>
    </w:pPr>
    <w:rPr>
      <w:sz w:val="24"/>
      <w:szCs w:val="24"/>
    </w:rPr>
  </w:style>
  <w:style w:type="character" w:styleId="CommentTextChar" w:customStyle="1">
    <w:name w:val="Comment Text Char"/>
    <w:basedOn w:val="DefaultParagraphFont"/>
    <w:link w:val="CommentText"/>
    <w:uiPriority w:val="99"/>
    <w:rsid w:val="001A79B2"/>
    <w:rPr>
      <w:sz w:val="24"/>
      <w:szCs w:val="24"/>
    </w:rPr>
  </w:style>
  <w:style w:type="paragraph" w:styleId="CommentSubject">
    <w:name w:val="annotation subject"/>
    <w:basedOn w:val="CommentText"/>
    <w:next w:val="CommentText"/>
    <w:link w:val="CommentSubjectChar"/>
    <w:uiPriority w:val="99"/>
    <w:semiHidden/>
    <w:unhideWhenUsed/>
    <w:rsid w:val="001A79B2"/>
    <w:rPr>
      <w:b/>
      <w:bCs/>
      <w:sz w:val="20"/>
      <w:szCs w:val="20"/>
    </w:rPr>
  </w:style>
  <w:style w:type="character" w:styleId="CommentSubjectChar" w:customStyle="1">
    <w:name w:val="Comment Subject Char"/>
    <w:basedOn w:val="CommentTextChar"/>
    <w:link w:val="CommentSubject"/>
    <w:uiPriority w:val="99"/>
    <w:semiHidden/>
    <w:rsid w:val="001A79B2"/>
    <w:rPr>
      <w:b/>
      <w:bCs/>
      <w:sz w:val="20"/>
      <w:szCs w:val="20"/>
    </w:rPr>
  </w:style>
  <w:style w:type="paragraph" w:styleId="BalloonText">
    <w:name w:val="Balloon Text"/>
    <w:basedOn w:val="Normal"/>
    <w:link w:val="BalloonTextChar"/>
    <w:uiPriority w:val="99"/>
    <w:semiHidden/>
    <w:unhideWhenUsed/>
    <w:rsid w:val="001A79B2"/>
    <w:pPr>
      <w:spacing w:after="0" w:line="240" w:lineRule="auto"/>
    </w:pPr>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A79B2"/>
    <w:rPr>
      <w:rFonts w:ascii="Lucida Grande" w:hAnsi="Lucida Grande" w:cs="Lucida Grande"/>
      <w:sz w:val="18"/>
      <w:szCs w:val="18"/>
    </w:rPr>
  </w:style>
  <w:style w:type="paragraph" w:styleId="Revision">
    <w:name w:val="Revision"/>
    <w:hidden/>
    <w:uiPriority w:val="99"/>
    <w:semiHidden/>
    <w:rsid w:val="00595E99"/>
    <w:pPr>
      <w:spacing w:after="0" w:line="240" w:lineRule="auto"/>
    </w:pPr>
  </w:style>
  <w:style w:type="paragraph" w:styleId="FootnoteText">
    <w:name w:val="footnote text"/>
    <w:basedOn w:val="Normal"/>
    <w:link w:val="FootnoteTextChar"/>
    <w:uiPriority w:val="99"/>
    <w:unhideWhenUsed/>
    <w:rsid w:val="004D291C"/>
    <w:pPr>
      <w:spacing w:after="0" w:line="240" w:lineRule="auto"/>
    </w:pPr>
    <w:rPr>
      <w:sz w:val="24"/>
      <w:szCs w:val="24"/>
    </w:rPr>
  </w:style>
  <w:style w:type="character" w:styleId="FootnoteTextChar" w:customStyle="1">
    <w:name w:val="Footnote Text Char"/>
    <w:basedOn w:val="DefaultParagraphFont"/>
    <w:link w:val="FootnoteText"/>
    <w:uiPriority w:val="99"/>
    <w:rsid w:val="004D291C"/>
    <w:rPr>
      <w:sz w:val="24"/>
      <w:szCs w:val="24"/>
    </w:rPr>
  </w:style>
  <w:style w:type="character" w:styleId="FootnoteReference">
    <w:name w:val="footnote reference"/>
    <w:basedOn w:val="DefaultParagraphFon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ghtList-Accent5">
    <w:name w:val="Light List Accent 5"/>
    <w:basedOn w:val="TableNormal"/>
    <w:uiPriority w:val="61"/>
    <w:rsid w:val="003C094B"/>
    <w:pPr>
      <w:spacing w:after="0" w:line="240" w:lineRule="auto"/>
    </w:p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character" w:styleId="FollowedHyperlink">
    <w:name w:val="FollowedHyperlink"/>
    <w:basedOn w:val="DefaultParagraphFont"/>
    <w:uiPriority w:val="99"/>
    <w:semiHidden/>
    <w:unhideWhenUsed/>
    <w:rsid w:val="008B52AE"/>
    <w:rPr>
      <w:color w:val="954F72" w:themeColor="followedHyperlink"/>
      <w:u w:val="single"/>
    </w:rPr>
  </w:style>
  <w:style w:type="character" w:styleId="apple-converted-space" w:customStyle="1">
    <w:name w:val="apple-converted-space"/>
    <w:basedOn w:val="DefaultParagraphFont"/>
    <w:rsid w:val="0043631D"/>
  </w:style>
  <w:style w:type="table" w:styleId="TableGrid1" w:customStyle="1">
    <w:name w:val="Table Grid1"/>
    <w:basedOn w:val="TableNormal"/>
    <w:next w:val="TableGrid"/>
    <w:uiPriority w:val="59"/>
    <w:rsid w:val="00A560F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BE1135"/>
    <w:pPr>
      <w:tabs>
        <w:tab w:val="center" w:pos="4320"/>
        <w:tab w:val="right" w:pos="8640"/>
      </w:tabs>
      <w:spacing w:after="0" w:line="240" w:lineRule="auto"/>
    </w:pPr>
  </w:style>
  <w:style w:type="character" w:styleId="HeaderChar" w:customStyle="1">
    <w:name w:val="Header Char"/>
    <w:basedOn w:val="DefaultParagraphFont"/>
    <w:link w:val="Header"/>
    <w:uiPriority w:val="99"/>
    <w:rsid w:val="00BE1135"/>
  </w:style>
  <w:style w:type="paragraph" w:styleId="Footer">
    <w:name w:val="footer"/>
    <w:basedOn w:val="Normal"/>
    <w:link w:val="FooterChar"/>
    <w:uiPriority w:val="99"/>
    <w:unhideWhenUsed/>
    <w:rsid w:val="00BE1135"/>
    <w:pPr>
      <w:tabs>
        <w:tab w:val="center" w:pos="4320"/>
        <w:tab w:val="right" w:pos="8640"/>
      </w:tabs>
      <w:spacing w:after="0" w:line="240" w:lineRule="auto"/>
    </w:pPr>
  </w:style>
  <w:style w:type="character" w:styleId="FooterChar" w:customStyle="1">
    <w:name w:val="Footer Char"/>
    <w:basedOn w:val="DefaultParagraphFont"/>
    <w:link w:val="Footer"/>
    <w:uiPriority w:val="99"/>
    <w:rsid w:val="00BE1135"/>
  </w:style>
  <w:style w:type="character" w:styleId="UnresolvedMention">
    <w:name w:val="Unresolved Mention"/>
    <w:basedOn w:val="DefaultParagraphFont"/>
    <w:uiPriority w:val="99"/>
    <w:semiHidden/>
    <w:unhideWhenUsed/>
    <w:rsid w:val="002B0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38702306">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53375773">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educationcluster.box.com/s/x1knlkvrfg71hbe0c3qtdouklom553aq" TargetMode="External" Id="rId13" /><Relationship Type="http://schemas.openxmlformats.org/officeDocument/2006/relationships/hyperlink" Target="https://educationcluster.box.com/s/msruulnxywua7uwx1j80gmu88gmwkwsl" TargetMode="External" Id="rId18" /><Relationship Type="http://schemas.openxmlformats.org/officeDocument/2006/relationships/hyperlink" Target="https://educationcluster.box.com/s/xzpcq0uspmwzfnjmqhlqaxturtpnqiom" TargetMode="External" Id="rId26" /><Relationship Type="http://schemas.openxmlformats.org/officeDocument/2006/relationships/styles" Target="styles.xml" Id="rId3" /><Relationship Type="http://schemas.openxmlformats.org/officeDocument/2006/relationships/hyperlink" Target="https://educationcluster.box.com/s/x1knlkvrfg71hbe0c3qtdouklom553aq" TargetMode="External" Id="rId21" /><Relationship Type="http://schemas.openxmlformats.org/officeDocument/2006/relationships/endnotes" Target="endnotes.xml" Id="rId7" /><Relationship Type="http://schemas.openxmlformats.org/officeDocument/2006/relationships/hyperlink" Target="https://educationcluster.box.com/s/7s0xvd8xiwfpwmxsy18maby1m3aa61ip" TargetMode="External" Id="rId12" /><Relationship Type="http://schemas.openxmlformats.org/officeDocument/2006/relationships/hyperlink" Target="https://inee.org/system/files/resources/INEE_GN_Gender_2019.pdf" TargetMode="External" Id="rId25" /><Relationship Type="http://schemas.openxmlformats.org/officeDocument/2006/relationships/numbering" Target="numbering.xml" Id="rId2" /><Relationship Type="http://schemas.openxmlformats.org/officeDocument/2006/relationships/hyperlink" Target="https://educationcluster.box.com/s/d60qa1qnile2lmiiyeyu8220qp7il4ho" TargetMode="External" Id="rId16" /><Relationship Type="http://schemas.openxmlformats.org/officeDocument/2006/relationships/hyperlink" Target="https://educationcluster.box.com/s/lqcdj4jk7y3pefstl1nmpvhr8aosm2cl" TargetMode="External" Id="rId20" /><Relationship Type="http://schemas.openxmlformats.org/officeDocument/2006/relationships/hyperlink" Target="https://inee.org/system/files/resources/INEE_GN_Gender_2019.pdf" TargetMode="Externa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educationcluster.box.com/s/papp3rq4kfh2pop9rpeg8kgpvimeo4j0" TargetMode="External" Id="rId11" /><Relationship Type="http://schemas.openxmlformats.org/officeDocument/2006/relationships/hyperlink" Target="https://educationcluster.box.com/s/x1knlkvrfg71hbe0c3qtdouklom553aq" TargetMode="External" Id="rId24" /><Relationship Type="http://schemas.openxmlformats.org/officeDocument/2006/relationships/theme" Target="theme/theme1.xml" Id="rId32" /><Relationship Type="http://schemas.openxmlformats.org/officeDocument/2006/relationships/webSettings" Target="webSettings.xml" Id="rId5" /><Relationship Type="http://schemas.openxmlformats.org/officeDocument/2006/relationships/hyperlink" Target="https://educationcluster.box.com/s/jx2uvczziztjr28t1yz30hs24amnmtpa" TargetMode="External" Id="rId15" /><Relationship Type="http://schemas.openxmlformats.org/officeDocument/2006/relationships/hyperlink" Target="https://educationcluster.box.com/s/jx2uvczziztjr28t1yz30hs24amnmtpa" TargetMode="External" Id="rId23" /><Relationship Type="http://schemas.openxmlformats.org/officeDocument/2006/relationships/hyperlink" Target="https://educationcluster.box.com/s/x1knlkvrfg71hbe0c3qtdouklom553aq" TargetMode="External" Id="rId28" /><Relationship Type="http://schemas.openxmlformats.org/officeDocument/2006/relationships/hyperlink" Target="mailto:mackenzie.monserez@savethechildren.org" TargetMode="External" Id="rId10" /><Relationship Type="http://schemas.openxmlformats.org/officeDocument/2006/relationships/hyperlink" Target="https://educationcluster.box.com/s/r23aeg4fvsewuhwsap281q1kn2phn69y" TargetMode="External" Id="rId19" /><Relationship Type="http://schemas.openxmlformats.org/officeDocument/2006/relationships/fontTable" Target="fontTable.xml" Id="rId31" /><Relationship Type="http://schemas.openxmlformats.org/officeDocument/2006/relationships/settings" Target="settings.xml" Id="rId4" /><Relationship Type="http://schemas.openxmlformats.org/officeDocument/2006/relationships/hyperlink" Target="https://educationcluster.box.com/s/9mqsahd102pzwwiq7cpobxxo0jc4cmkg" TargetMode="External" Id="rId9" /><Relationship Type="http://schemas.openxmlformats.org/officeDocument/2006/relationships/hyperlink" Target="https://educationcluster.box.com/s/pgg97uwzkg8bfr6mvd0sr790hh1dxkfb" TargetMode="External" Id="rId14" /><Relationship Type="http://schemas.openxmlformats.org/officeDocument/2006/relationships/hyperlink" Target="https://educationcluster.box.com/s/pgg97uwzkg8bfr6mvd0sr790hh1dxkfb" TargetMode="External" Id="rId22" /><Relationship Type="http://schemas.openxmlformats.org/officeDocument/2006/relationships/hyperlink" Target="https://educationcluster.box.com/s/x1knlkvrfg71hbe0c3qtdouklom553aq" TargetMode="External" Id="rId27" /><Relationship Type="http://schemas.openxmlformats.org/officeDocument/2006/relationships/header" Target="header1.xml" Id="rId30" /><Relationship Type="http://schemas.openxmlformats.org/officeDocument/2006/relationships/hyperlink" Target="https://educationcluster.box.com/s/dcesruv5zh792gpw6wrh2vfyoso9imcu" TargetMode="External" Id="R18e7efa2dc034ed6" /><Relationship Type="http://schemas.openxmlformats.org/officeDocument/2006/relationships/hyperlink" Target="https://educationcluster.box.com/s/q009p5j8omx1xrxajrwgrip6xkqtnxhf" TargetMode="External" Id="R991fb72506914960" /></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n5m5g3gjt7r1xo0qpk9utr70wu81cofl"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B8931-C230-7445-B980-D55DE0306BB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CP AoR</dc:creator>
  <keywords/>
  <dc:description/>
  <lastModifiedBy>Mackenzie</lastModifiedBy>
  <revision>9</revision>
  <lastPrinted>2020-02-13T08:37:00.0000000Z</lastPrinted>
  <dcterms:created xsi:type="dcterms:W3CDTF">2020-08-19T08:54:00.0000000Z</dcterms:created>
  <dcterms:modified xsi:type="dcterms:W3CDTF">2020-09-01T14:31:21.0312553Z</dcterms:modified>
</coreProperties>
</file>